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AA10D" w14:textId="4AEB1F9C" w:rsidR="004607C3" w:rsidRPr="00A47839" w:rsidRDefault="004607C3" w:rsidP="00E0498C">
      <w:pPr>
        <w:pStyle w:val="Header"/>
        <w:tabs>
          <w:tab w:val="clear" w:pos="8306"/>
          <w:tab w:val="right" w:pos="7088"/>
          <w:tab w:val="right" w:pos="9781"/>
        </w:tabs>
        <w:jc w:val="both"/>
        <w:rPr>
          <w:rFonts w:ascii="Arial" w:hAnsi="Arial" w:cs="Arial"/>
          <w:b/>
          <w:bCs/>
          <w:sz w:val="24"/>
          <w:szCs w:val="24"/>
        </w:rPr>
      </w:pPr>
      <w:bookmarkStart w:id="0" w:name="_GoBack"/>
      <w:bookmarkEnd w:id="0"/>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93</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r>
      <w:r w:rsidR="00ED218B" w:rsidRPr="00ED2D69">
        <w:rPr>
          <w:rFonts w:ascii="Arial" w:hAnsi="Arial" w:cs="Arial"/>
          <w:b/>
          <w:bCs/>
          <w:sz w:val="24"/>
          <w:szCs w:val="24"/>
        </w:rPr>
        <w:t>R1-</w:t>
      </w:r>
      <w:r w:rsidR="00ED2D69" w:rsidRPr="002B73B2">
        <w:rPr>
          <w:rFonts w:ascii="Arial" w:hAnsi="Arial" w:cs="Arial"/>
          <w:b/>
          <w:bCs/>
          <w:sz w:val="24"/>
          <w:szCs w:val="24"/>
        </w:rPr>
        <w:t>1807237</w:t>
      </w:r>
    </w:p>
    <w:p w14:paraId="56A15566" w14:textId="0F59D7B6" w:rsidR="004607C3" w:rsidRPr="00A2299C" w:rsidRDefault="00ED218B" w:rsidP="00F6026A">
      <w:pPr>
        <w:pStyle w:val="Header"/>
        <w:tabs>
          <w:tab w:val="clear" w:pos="8306"/>
          <w:tab w:val="right" w:pos="9639"/>
        </w:tabs>
        <w:jc w:val="both"/>
        <w:rPr>
          <w:rFonts w:ascii="Arial" w:hAnsi="Arial" w:cs="Arial"/>
          <w:b/>
          <w:bCs/>
          <w:sz w:val="24"/>
        </w:rPr>
      </w:pPr>
      <w:r>
        <w:rPr>
          <w:rFonts w:ascii="Arial" w:hAnsi="Arial" w:cs="Arial"/>
          <w:b/>
          <w:bCs/>
          <w:sz w:val="24"/>
        </w:rPr>
        <w:t>Busan</w:t>
      </w:r>
      <w:r w:rsidR="005D20F1" w:rsidRPr="00A2299C">
        <w:rPr>
          <w:rFonts w:ascii="Arial" w:hAnsi="Arial" w:cs="Arial"/>
          <w:b/>
          <w:bCs/>
          <w:sz w:val="24"/>
        </w:rPr>
        <w:t xml:space="preserve">, </w:t>
      </w:r>
      <w:r>
        <w:rPr>
          <w:rFonts w:ascii="Arial" w:hAnsi="Arial" w:cs="Arial"/>
          <w:b/>
          <w:bCs/>
          <w:sz w:val="24"/>
        </w:rPr>
        <w:t>Korea</w:t>
      </w:r>
      <w:r w:rsidR="005D20F1" w:rsidRPr="00A2299C">
        <w:rPr>
          <w:rFonts w:ascii="Arial" w:hAnsi="Arial" w:cs="Arial"/>
          <w:b/>
          <w:bCs/>
          <w:sz w:val="24"/>
        </w:rPr>
        <w:t xml:space="preserve">, </w:t>
      </w:r>
      <w:r>
        <w:rPr>
          <w:rFonts w:ascii="Arial" w:hAnsi="Arial" w:cs="Arial"/>
          <w:b/>
          <w:bCs/>
          <w:sz w:val="24"/>
        </w:rPr>
        <w:t>May 21</w:t>
      </w:r>
      <w:r w:rsidRPr="00ED218B">
        <w:rPr>
          <w:rFonts w:ascii="Arial" w:hAnsi="Arial" w:cs="Arial"/>
          <w:b/>
          <w:bCs/>
          <w:sz w:val="24"/>
          <w:vertAlign w:val="superscript"/>
        </w:rPr>
        <w:t>st</w:t>
      </w:r>
      <w:r>
        <w:rPr>
          <w:rFonts w:ascii="Arial" w:hAnsi="Arial" w:cs="Arial"/>
          <w:b/>
          <w:bCs/>
          <w:sz w:val="24"/>
        </w:rPr>
        <w:t xml:space="preserve"> – 25</w:t>
      </w:r>
      <w:r w:rsidRPr="00ED218B">
        <w:rPr>
          <w:rFonts w:ascii="Arial" w:hAnsi="Arial" w:cs="Arial"/>
          <w:b/>
          <w:bCs/>
          <w:sz w:val="24"/>
          <w:vertAlign w:val="superscript"/>
        </w:rPr>
        <w:t>th</w:t>
      </w:r>
      <w:r>
        <w:rPr>
          <w:rFonts w:ascii="Arial" w:hAnsi="Arial" w:cs="Arial"/>
          <w:b/>
          <w:bCs/>
          <w:sz w:val="24"/>
        </w:rPr>
        <w:t>, 2018</w:t>
      </w:r>
    </w:p>
    <w:p w14:paraId="0656168E" w14:textId="77777777" w:rsidR="004607C3" w:rsidRPr="00A2299C" w:rsidRDefault="004607C3" w:rsidP="00A23578">
      <w:pPr>
        <w:jc w:val="both"/>
        <w:rPr>
          <w:rFonts w:ascii="Arial" w:hAnsi="Arial" w:cs="Arial"/>
          <w:sz w:val="22"/>
        </w:rPr>
      </w:pPr>
    </w:p>
    <w:p w14:paraId="2FABF9AA" w14:textId="7CC53EB9"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ED218B">
        <w:rPr>
          <w:rFonts w:ascii="Arial" w:hAnsi="Arial" w:cs="Arial"/>
          <w:b/>
          <w:sz w:val="22"/>
        </w:rPr>
        <w:t xml:space="preserve">7.6.4.5 </w:t>
      </w:r>
      <w:r w:rsidR="00182FFB" w:rsidRPr="00182FFB">
        <w:rPr>
          <w:rFonts w:ascii="Arial" w:hAnsi="Arial" w:cs="Arial"/>
          <w:b/>
          <w:sz w:val="22"/>
        </w:rPr>
        <w:t>– Other</w:t>
      </w:r>
    </w:p>
    <w:p w14:paraId="7395AB72" w14:textId="2F7F88BF"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ED2D69" w:rsidRPr="00ED2D69">
        <w:rPr>
          <w:rFonts w:ascii="Arial" w:hAnsi="Arial" w:cs="Arial"/>
          <w:b/>
          <w:sz w:val="22"/>
        </w:rPr>
        <w:t>Discussion on NR-U in Wider Band</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3B58CF76" w14:textId="2384DDB2" w:rsidR="00485C27" w:rsidRDefault="00EF1127" w:rsidP="00073F85">
      <w:pPr>
        <w:spacing w:before="120" w:after="120"/>
        <w:jc w:val="both"/>
        <w:rPr>
          <w:sz w:val="22"/>
          <w:szCs w:val="22"/>
          <w:lang w:eastAsia="ko-KR"/>
        </w:rPr>
      </w:pPr>
      <w:r w:rsidRPr="00A2299C">
        <w:rPr>
          <w:rFonts w:eastAsia="Batang"/>
          <w:sz w:val="22"/>
          <w:szCs w:val="22"/>
          <w:lang w:eastAsia="ko-KR"/>
        </w:rPr>
        <w:t>T</w:t>
      </w:r>
      <w:r w:rsidR="001A5BE4" w:rsidRPr="00A2299C">
        <w:rPr>
          <w:rFonts w:eastAsia="Batang"/>
          <w:sz w:val="22"/>
          <w:szCs w:val="22"/>
          <w:lang w:val="en-US" w:eastAsia="ko-KR"/>
        </w:rPr>
        <w:t xml:space="preserve">he following agreements </w:t>
      </w:r>
      <w:r w:rsidR="001A5BE4" w:rsidRPr="00A2299C">
        <w:rPr>
          <w:sz w:val="22"/>
          <w:szCs w:val="22"/>
          <w:lang w:eastAsia="ko-KR"/>
        </w:rPr>
        <w:t xml:space="preserve">were made </w:t>
      </w:r>
      <w:r w:rsidR="008127C1" w:rsidRPr="00A2299C">
        <w:rPr>
          <w:sz w:val="22"/>
          <w:szCs w:val="22"/>
          <w:lang w:eastAsia="ko-KR"/>
        </w:rPr>
        <w:t xml:space="preserve">on </w:t>
      </w:r>
      <w:r w:rsidR="006D33D8">
        <w:rPr>
          <w:sz w:val="22"/>
          <w:szCs w:val="22"/>
          <w:lang w:eastAsia="ko-KR"/>
        </w:rPr>
        <w:t xml:space="preserve">NR-based access to unlicensed spectrum </w:t>
      </w:r>
      <w:r w:rsidR="001A5BE4" w:rsidRPr="00A2299C">
        <w:rPr>
          <w:sz w:val="22"/>
          <w:szCs w:val="22"/>
          <w:lang w:eastAsia="ko-KR"/>
        </w:rPr>
        <w:t xml:space="preserve">in the </w:t>
      </w:r>
      <w:r w:rsidR="00485C27" w:rsidRPr="00A2299C">
        <w:rPr>
          <w:rFonts w:eastAsia="Batang"/>
          <w:sz w:val="22"/>
          <w:szCs w:val="22"/>
          <w:lang w:val="en-US" w:eastAsia="ko-KR"/>
        </w:rPr>
        <w:t>RAN1</w:t>
      </w:r>
      <w:r w:rsidR="00485C27" w:rsidRPr="00A2299C">
        <w:rPr>
          <w:sz w:val="22"/>
          <w:szCs w:val="22"/>
        </w:rPr>
        <w:t xml:space="preserve"> </w:t>
      </w:r>
      <w:r w:rsidR="00485C27" w:rsidRPr="00A2299C">
        <w:rPr>
          <w:rFonts w:eastAsia="Batang"/>
          <w:sz w:val="22"/>
          <w:szCs w:val="22"/>
          <w:lang w:val="en-US" w:eastAsia="ko-KR"/>
        </w:rPr>
        <w:t>#</w:t>
      </w:r>
      <w:r w:rsidR="00A53DF3">
        <w:rPr>
          <w:rFonts w:eastAsia="Batang"/>
          <w:sz w:val="22"/>
          <w:szCs w:val="22"/>
          <w:lang w:val="en-US" w:eastAsia="ko-KR"/>
        </w:rPr>
        <w:t>92</w:t>
      </w:r>
      <w:r w:rsidR="00AE1547" w:rsidRPr="00A2299C">
        <w:rPr>
          <w:rFonts w:eastAsia="Batang"/>
          <w:sz w:val="22"/>
          <w:szCs w:val="22"/>
          <w:lang w:val="en-US" w:eastAsia="ko-KR"/>
        </w:rPr>
        <w:t xml:space="preserve"> </w:t>
      </w:r>
      <w:r w:rsidR="008127C1" w:rsidRPr="00A2299C">
        <w:rPr>
          <w:rFonts w:eastAsia="Batang"/>
          <w:sz w:val="22"/>
          <w:szCs w:val="22"/>
          <w:lang w:val="en-US" w:eastAsia="ko-KR"/>
        </w:rPr>
        <w:t>meeting</w:t>
      </w:r>
      <w:r w:rsidR="00940ED3">
        <w:rPr>
          <w:rFonts w:eastAsia="Batang"/>
          <w:sz w:val="22"/>
          <w:szCs w:val="22"/>
          <w:lang w:val="en-US" w:eastAsia="ko-KR"/>
        </w:rPr>
        <w:t xml:space="preserve"> </w:t>
      </w:r>
      <w:r w:rsidR="00940ED3">
        <w:rPr>
          <w:rFonts w:eastAsia="Batang"/>
          <w:sz w:val="22"/>
          <w:szCs w:val="22"/>
          <w:lang w:val="en-US" w:eastAsia="ko-KR"/>
        </w:rPr>
        <w:fldChar w:fldCharType="begin"/>
      </w:r>
      <w:r w:rsidR="00940ED3">
        <w:rPr>
          <w:rFonts w:eastAsia="Batang"/>
          <w:sz w:val="22"/>
          <w:szCs w:val="22"/>
          <w:lang w:val="en-US" w:eastAsia="ko-KR"/>
        </w:rPr>
        <w:instrText xml:space="preserve"> REF _Ref494714909 \r \h </w:instrText>
      </w:r>
      <w:r w:rsidR="00940ED3">
        <w:rPr>
          <w:rFonts w:eastAsia="Batang"/>
          <w:sz w:val="22"/>
          <w:szCs w:val="22"/>
          <w:lang w:val="en-US" w:eastAsia="ko-KR"/>
        </w:rPr>
      </w:r>
      <w:r w:rsidR="00940ED3">
        <w:rPr>
          <w:rFonts w:eastAsia="Batang"/>
          <w:sz w:val="22"/>
          <w:szCs w:val="22"/>
          <w:lang w:val="en-US" w:eastAsia="ko-KR"/>
        </w:rPr>
        <w:fldChar w:fldCharType="separate"/>
      </w:r>
      <w:r w:rsidR="00940ED3">
        <w:rPr>
          <w:rFonts w:eastAsia="Batang"/>
          <w:sz w:val="22"/>
          <w:szCs w:val="22"/>
          <w:lang w:val="en-US" w:eastAsia="ko-KR"/>
        </w:rPr>
        <w:t>[1]</w:t>
      </w:r>
      <w:r w:rsidR="00940ED3">
        <w:rPr>
          <w:rFonts w:eastAsia="Batang"/>
          <w:sz w:val="22"/>
          <w:szCs w:val="22"/>
          <w:lang w:val="en-US" w:eastAsia="ko-KR"/>
        </w:rPr>
        <w:fldChar w:fldCharType="end"/>
      </w:r>
      <w:r w:rsidR="00485C27" w:rsidRPr="00A2299C">
        <w:rPr>
          <w:sz w:val="22"/>
          <w:szCs w:val="22"/>
          <w:lang w:eastAsia="ko-KR"/>
        </w:rPr>
        <w:t>:</w:t>
      </w:r>
    </w:p>
    <w:p w14:paraId="3B39BDAC" w14:textId="259C0D2C" w:rsidR="0098051C" w:rsidRPr="002B73B2" w:rsidRDefault="0098051C" w:rsidP="002B73B2">
      <w:pPr>
        <w:rPr>
          <w:i/>
          <w:lang w:val="en-US" w:eastAsia="x-none"/>
        </w:rPr>
      </w:pPr>
      <w:r w:rsidRPr="00A53DF3">
        <w:rPr>
          <w:b/>
          <w:u w:val="single"/>
          <w:lang w:val="en-US" w:eastAsia="x-none"/>
        </w:rPr>
        <w:t>Agreements</w:t>
      </w:r>
    </w:p>
    <w:p w14:paraId="3AE73701" w14:textId="77777777" w:rsidR="00AB1D8A" w:rsidRPr="00A53DF3" w:rsidRDefault="00AB1D8A" w:rsidP="00AB1D8A">
      <w:pPr>
        <w:rPr>
          <w:i/>
          <w:lang w:val="en-US" w:eastAsia="x-none"/>
        </w:rPr>
      </w:pPr>
      <w:r w:rsidRPr="00A53DF3">
        <w:rPr>
          <w:i/>
          <w:lang w:val="en-US" w:eastAsia="x-none"/>
        </w:rPr>
        <w:t xml:space="preserve">Study the additional functionality needed beyond the specifications for operation in licensed spectrum in the following deployment scenarios. </w:t>
      </w:r>
    </w:p>
    <w:p w14:paraId="5335FBF3" w14:textId="77777777" w:rsidR="00AB1D8A" w:rsidRPr="00A53DF3" w:rsidRDefault="00AB1D8A" w:rsidP="00AB1D8A">
      <w:pPr>
        <w:numPr>
          <w:ilvl w:val="0"/>
          <w:numId w:val="25"/>
        </w:numPr>
        <w:rPr>
          <w:i/>
          <w:lang w:val="en-US" w:eastAsia="x-none"/>
        </w:rPr>
      </w:pPr>
      <w:r w:rsidRPr="00A53DF3">
        <w:rPr>
          <w:i/>
          <w:lang w:val="en-US" w:eastAsia="x-none"/>
        </w:rPr>
        <w:t>Carrier aggregation between licensed band NR (PCell) and NR-U (SCell)</w:t>
      </w:r>
    </w:p>
    <w:p w14:paraId="590F8A45" w14:textId="77777777" w:rsidR="00AB1D8A" w:rsidRPr="00A53DF3" w:rsidRDefault="00AB1D8A" w:rsidP="00AB1D8A">
      <w:pPr>
        <w:numPr>
          <w:ilvl w:val="1"/>
          <w:numId w:val="25"/>
        </w:numPr>
        <w:rPr>
          <w:i/>
          <w:lang w:val="en-US" w:eastAsia="x-none"/>
        </w:rPr>
      </w:pPr>
      <w:r w:rsidRPr="00A53DF3">
        <w:rPr>
          <w:i/>
          <w:lang w:val="en-US" w:eastAsia="x-none"/>
        </w:rPr>
        <w:t>NR-U SCell may have both DL and UL, or DL-only.</w:t>
      </w:r>
    </w:p>
    <w:p w14:paraId="44384F9C" w14:textId="77777777" w:rsidR="00AB1D8A" w:rsidRPr="00A53DF3" w:rsidRDefault="00AB1D8A" w:rsidP="00AB1D8A">
      <w:pPr>
        <w:numPr>
          <w:ilvl w:val="0"/>
          <w:numId w:val="25"/>
        </w:numPr>
        <w:rPr>
          <w:i/>
          <w:lang w:val="en-US" w:eastAsia="x-none"/>
        </w:rPr>
      </w:pPr>
      <w:r w:rsidRPr="00A53DF3">
        <w:rPr>
          <w:i/>
          <w:lang w:val="en-US" w:eastAsia="x-none"/>
        </w:rPr>
        <w:t>Dual connectivity between licensed band LTE (PCell) and NR-U (PSCell)</w:t>
      </w:r>
    </w:p>
    <w:p w14:paraId="3F52E5A5" w14:textId="77777777" w:rsidR="00AB1D8A" w:rsidRPr="00A53DF3" w:rsidRDefault="00AB1D8A" w:rsidP="00AB1D8A">
      <w:pPr>
        <w:numPr>
          <w:ilvl w:val="0"/>
          <w:numId w:val="25"/>
        </w:numPr>
        <w:rPr>
          <w:i/>
          <w:lang w:val="en-US" w:eastAsia="x-none"/>
        </w:rPr>
      </w:pPr>
      <w:r w:rsidRPr="00A53DF3">
        <w:rPr>
          <w:i/>
          <w:lang w:val="en-US" w:eastAsia="x-none"/>
        </w:rPr>
        <w:t>Stand-alone NR-U</w:t>
      </w:r>
    </w:p>
    <w:p w14:paraId="6A40B9D7" w14:textId="77777777" w:rsidR="00AB1D8A" w:rsidRPr="00A53DF3" w:rsidRDefault="00AB1D8A" w:rsidP="00AB1D8A">
      <w:pPr>
        <w:numPr>
          <w:ilvl w:val="0"/>
          <w:numId w:val="25"/>
        </w:numPr>
        <w:rPr>
          <w:i/>
          <w:lang w:val="en-US" w:eastAsia="x-none"/>
        </w:rPr>
      </w:pPr>
      <w:r w:rsidRPr="00A53DF3">
        <w:rPr>
          <w:i/>
          <w:lang w:val="en-US" w:eastAsia="x-none"/>
        </w:rPr>
        <w:t>An NR cell with DL in unlicensed band and UL in licensed band</w:t>
      </w:r>
    </w:p>
    <w:p w14:paraId="50265136" w14:textId="77777777" w:rsidR="00AB1D8A" w:rsidRDefault="00AB1D8A" w:rsidP="00AB1D8A">
      <w:pPr>
        <w:numPr>
          <w:ilvl w:val="0"/>
          <w:numId w:val="25"/>
        </w:numPr>
        <w:rPr>
          <w:i/>
          <w:lang w:val="en-US" w:eastAsia="x-none"/>
        </w:rPr>
      </w:pPr>
      <w:r w:rsidRPr="00A53DF3">
        <w:rPr>
          <w:i/>
          <w:lang w:val="en-US" w:eastAsia="x-none"/>
        </w:rPr>
        <w:t>Dual connectivity between licensed band NR (PCell) and NR-U (PSCell)</w:t>
      </w:r>
    </w:p>
    <w:p w14:paraId="690651DE" w14:textId="77777777" w:rsidR="00AB1D8A" w:rsidRDefault="00AB1D8A" w:rsidP="00AB1D8A">
      <w:pPr>
        <w:rPr>
          <w:b/>
          <w:u w:val="single"/>
          <w:lang w:val="en-US" w:eastAsia="x-none"/>
        </w:rPr>
      </w:pPr>
    </w:p>
    <w:p w14:paraId="327F95E7" w14:textId="77777777" w:rsidR="00AB1D8A" w:rsidRPr="00A53DF3" w:rsidRDefault="00AB1D8A" w:rsidP="00AB1D8A">
      <w:pPr>
        <w:rPr>
          <w:i/>
          <w:lang w:val="en-US" w:eastAsia="x-none"/>
        </w:rPr>
      </w:pPr>
      <w:r w:rsidRPr="00A53DF3">
        <w:rPr>
          <w:b/>
          <w:u w:val="single"/>
          <w:lang w:val="en-US" w:eastAsia="x-none"/>
        </w:rPr>
        <w:t>Agreements</w:t>
      </w:r>
    </w:p>
    <w:p w14:paraId="63A69A1B" w14:textId="77777777" w:rsidR="00AB1D8A" w:rsidRPr="00A53DF3" w:rsidRDefault="00AB1D8A" w:rsidP="00AB1D8A">
      <w:pPr>
        <w:rPr>
          <w:i/>
          <w:lang w:eastAsia="x-none"/>
        </w:rPr>
      </w:pPr>
      <w:r w:rsidRPr="00A53DF3">
        <w:rPr>
          <w:i/>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0972D9D3" w14:textId="77777777" w:rsidR="00AB1D8A" w:rsidRPr="00A53DF3" w:rsidRDefault="00AB1D8A" w:rsidP="00AB1D8A">
      <w:pPr>
        <w:numPr>
          <w:ilvl w:val="1"/>
          <w:numId w:val="27"/>
        </w:numPr>
        <w:rPr>
          <w:i/>
          <w:lang w:eastAsia="x-none"/>
        </w:rPr>
      </w:pPr>
      <w:r w:rsidRPr="00A53DF3">
        <w:rPr>
          <w:i/>
          <w:lang w:eastAsia="x-none"/>
        </w:rPr>
        <w:t>FFS: The definition of the frequency ranges</w:t>
      </w:r>
    </w:p>
    <w:p w14:paraId="161B293B" w14:textId="77777777" w:rsidR="00AB1D8A" w:rsidRPr="00A53DF3" w:rsidRDefault="00AB1D8A" w:rsidP="00AB1D8A">
      <w:pPr>
        <w:numPr>
          <w:ilvl w:val="1"/>
          <w:numId w:val="27"/>
        </w:numPr>
        <w:rPr>
          <w:i/>
          <w:lang w:eastAsia="x-none"/>
        </w:rPr>
      </w:pPr>
      <w:r w:rsidRPr="00A53DF3">
        <w:rPr>
          <w:i/>
          <w:lang w:eastAsia="x-none"/>
        </w:rPr>
        <w:t>Note: Optimizations for a particular frequency band may be necessary.</w:t>
      </w:r>
    </w:p>
    <w:p w14:paraId="2B096B0A" w14:textId="77777777" w:rsidR="00AB1D8A" w:rsidRPr="00A53DF3" w:rsidRDefault="00AB1D8A" w:rsidP="00AB1D8A">
      <w:pPr>
        <w:numPr>
          <w:ilvl w:val="1"/>
          <w:numId w:val="27"/>
        </w:numPr>
        <w:rPr>
          <w:i/>
          <w:lang w:eastAsia="x-none"/>
        </w:rPr>
      </w:pPr>
      <w:r w:rsidRPr="00A53DF3">
        <w:rPr>
          <w:i/>
          <w:lang w:eastAsia="x-none"/>
        </w:rPr>
        <w:t>Note: Channel bandwidths below 5 MHz are not targeted</w:t>
      </w:r>
    </w:p>
    <w:p w14:paraId="235C37BA" w14:textId="77777777" w:rsidR="00AB1D8A" w:rsidRPr="00A53DF3" w:rsidRDefault="00AB1D8A" w:rsidP="00AB1D8A">
      <w:pPr>
        <w:numPr>
          <w:ilvl w:val="0"/>
          <w:numId w:val="26"/>
        </w:numPr>
        <w:rPr>
          <w:i/>
          <w:lang w:eastAsia="x-none"/>
        </w:rPr>
      </w:pPr>
      <w:r w:rsidRPr="00A53DF3">
        <w:rPr>
          <w:i/>
          <w:lang w:eastAsia="x-none"/>
        </w:rPr>
        <w:t>The study targets the design of channel access procedures for frequency bands based on coexistence and regulatory considerations applicable to the band.</w:t>
      </w:r>
    </w:p>
    <w:p w14:paraId="23D28CED" w14:textId="77777777" w:rsidR="00AB1D8A" w:rsidRPr="00A53DF3" w:rsidRDefault="00AB1D8A" w:rsidP="00AB1D8A">
      <w:pPr>
        <w:numPr>
          <w:ilvl w:val="0"/>
          <w:numId w:val="26"/>
        </w:numPr>
        <w:rPr>
          <w:i/>
          <w:lang w:eastAsia="x-none"/>
        </w:rPr>
      </w:pPr>
      <w:r w:rsidRPr="00A53DF3">
        <w:rPr>
          <w:i/>
          <w:lang w:eastAsia="x-none"/>
        </w:rPr>
        <w:t>Note: The study includes identification of procedures for technology neutral channel access for frequency bands that may become available subject to regulations.</w:t>
      </w:r>
    </w:p>
    <w:p w14:paraId="5F7515F8" w14:textId="77777777" w:rsidR="00AB1D8A" w:rsidRPr="00A53DF3" w:rsidRDefault="00AB1D8A" w:rsidP="00AB1D8A">
      <w:pPr>
        <w:numPr>
          <w:ilvl w:val="1"/>
          <w:numId w:val="26"/>
        </w:numPr>
        <w:rPr>
          <w:i/>
          <w:lang w:eastAsia="x-none"/>
        </w:rPr>
      </w:pPr>
      <w:r w:rsidRPr="00A53DF3">
        <w:rPr>
          <w:i/>
          <w:lang w:eastAsia="x-none"/>
        </w:rPr>
        <w:t>The study assumes regulation will provide the framework concerning the protection for the technologies not using unlicensed access in those bands.</w:t>
      </w:r>
    </w:p>
    <w:p w14:paraId="31202F53" w14:textId="0F8069D0" w:rsidR="00A53DF3" w:rsidRDefault="00A53DF3" w:rsidP="00A53DF3">
      <w:pPr>
        <w:spacing w:before="120" w:after="120"/>
        <w:jc w:val="both"/>
        <w:rPr>
          <w:sz w:val="22"/>
          <w:szCs w:val="22"/>
          <w:lang w:eastAsia="ko-KR"/>
        </w:rPr>
      </w:pPr>
      <w:r>
        <w:rPr>
          <w:sz w:val="22"/>
          <w:szCs w:val="22"/>
          <w:lang w:eastAsia="x-none"/>
        </w:rPr>
        <w:t xml:space="preserve">In the </w:t>
      </w:r>
      <w:r w:rsidRPr="00A2299C">
        <w:rPr>
          <w:rFonts w:eastAsia="Batang"/>
          <w:sz w:val="22"/>
          <w:szCs w:val="22"/>
          <w:lang w:val="en-US" w:eastAsia="ko-KR"/>
        </w:rPr>
        <w:t>RAN1</w:t>
      </w:r>
      <w:r w:rsidRPr="00A2299C">
        <w:rPr>
          <w:sz w:val="22"/>
          <w:szCs w:val="22"/>
        </w:rPr>
        <w:t xml:space="preserve"> </w:t>
      </w:r>
      <w:r w:rsidRPr="00A2299C">
        <w:rPr>
          <w:rFonts w:eastAsia="Batang"/>
          <w:sz w:val="22"/>
          <w:szCs w:val="22"/>
          <w:lang w:val="en-US" w:eastAsia="ko-KR"/>
        </w:rPr>
        <w:t>#</w:t>
      </w:r>
      <w:r>
        <w:rPr>
          <w:rFonts w:eastAsia="Batang"/>
          <w:sz w:val="22"/>
          <w:szCs w:val="22"/>
          <w:lang w:val="en-US" w:eastAsia="ko-KR"/>
        </w:rPr>
        <w:t>92b</w:t>
      </w:r>
      <w:r w:rsidRPr="00A2299C">
        <w:rPr>
          <w:rFonts w:eastAsia="Batang"/>
          <w:sz w:val="22"/>
          <w:szCs w:val="22"/>
          <w:lang w:val="en-US" w:eastAsia="ko-KR"/>
        </w:rPr>
        <w:t xml:space="preserve"> meeting</w:t>
      </w:r>
      <w:r>
        <w:rPr>
          <w:rFonts w:eastAsia="Batang"/>
          <w:sz w:val="22"/>
          <w:szCs w:val="22"/>
          <w:lang w:val="en-US" w:eastAsia="ko-KR"/>
        </w:rPr>
        <w:t xml:space="preserve"> </w:t>
      </w:r>
      <w:r>
        <w:rPr>
          <w:rFonts w:eastAsia="Batang"/>
          <w:sz w:val="22"/>
          <w:szCs w:val="22"/>
          <w:lang w:val="en-US" w:eastAsia="ko-KR"/>
        </w:rPr>
        <w:fldChar w:fldCharType="begin"/>
      </w:r>
      <w:r>
        <w:rPr>
          <w:rFonts w:eastAsia="Batang"/>
          <w:sz w:val="22"/>
          <w:szCs w:val="22"/>
          <w:lang w:val="en-US" w:eastAsia="ko-KR"/>
        </w:rPr>
        <w:instrText xml:space="preserve"> REF _Ref494714909 \r \h </w:instrText>
      </w:r>
      <w:r>
        <w:rPr>
          <w:rFonts w:eastAsia="Batang"/>
          <w:sz w:val="22"/>
          <w:szCs w:val="22"/>
          <w:lang w:val="en-US" w:eastAsia="ko-KR"/>
        </w:rPr>
      </w:r>
      <w:r>
        <w:rPr>
          <w:rFonts w:eastAsia="Batang"/>
          <w:sz w:val="22"/>
          <w:szCs w:val="22"/>
          <w:lang w:val="en-US" w:eastAsia="ko-KR"/>
        </w:rPr>
        <w:fldChar w:fldCharType="separate"/>
      </w:r>
      <w:r>
        <w:rPr>
          <w:rFonts w:eastAsia="Batang"/>
          <w:sz w:val="22"/>
          <w:szCs w:val="22"/>
          <w:lang w:val="en-US" w:eastAsia="ko-KR"/>
        </w:rPr>
        <w:t>[2]</w:t>
      </w:r>
      <w:r>
        <w:rPr>
          <w:rFonts w:eastAsia="Batang"/>
          <w:sz w:val="22"/>
          <w:szCs w:val="22"/>
          <w:lang w:val="en-US" w:eastAsia="ko-KR"/>
        </w:rPr>
        <w:fldChar w:fldCharType="end"/>
      </w:r>
      <w:r>
        <w:rPr>
          <w:sz w:val="22"/>
          <w:szCs w:val="22"/>
          <w:lang w:eastAsia="ko-KR"/>
        </w:rPr>
        <w:t>, the following agreements were made:</w:t>
      </w:r>
    </w:p>
    <w:p w14:paraId="4C6805FC" w14:textId="7E2B9CBD" w:rsidR="00A53DF3" w:rsidRDefault="00A53DF3" w:rsidP="00A53DF3">
      <w:pPr>
        <w:spacing w:before="120" w:after="120"/>
        <w:jc w:val="both"/>
        <w:rPr>
          <w:sz w:val="22"/>
          <w:szCs w:val="22"/>
          <w:lang w:eastAsia="ko-KR"/>
        </w:rPr>
      </w:pPr>
      <w:r w:rsidRPr="00A53DF3">
        <w:rPr>
          <w:b/>
          <w:u w:val="single"/>
          <w:lang w:val="en-US" w:eastAsia="x-none"/>
        </w:rPr>
        <w:t>Agreements</w:t>
      </w:r>
    </w:p>
    <w:p w14:paraId="33A5986A" w14:textId="77777777" w:rsidR="00AB1D8A" w:rsidRPr="00014B03" w:rsidRDefault="00AB1D8A" w:rsidP="00AB1D8A">
      <w:pPr>
        <w:widowControl w:val="0"/>
        <w:numPr>
          <w:ilvl w:val="0"/>
          <w:numId w:val="26"/>
        </w:numPr>
        <w:jc w:val="both"/>
        <w:rPr>
          <w:i/>
          <w:lang w:val="en-US"/>
        </w:rPr>
      </w:pPr>
      <w:r w:rsidRPr="00014B03">
        <w:rPr>
          <w:i/>
          <w:lang w:val="en-US"/>
        </w:rPr>
        <w:t xml:space="preserve">Study possible enhancements for HARQ operation </w:t>
      </w:r>
    </w:p>
    <w:p w14:paraId="72D4E44F" w14:textId="77777777" w:rsidR="00AB1D8A" w:rsidRPr="00014B03" w:rsidRDefault="00AB1D8A" w:rsidP="00AB1D8A">
      <w:pPr>
        <w:widowControl w:val="0"/>
        <w:numPr>
          <w:ilvl w:val="0"/>
          <w:numId w:val="26"/>
        </w:numPr>
        <w:jc w:val="both"/>
        <w:rPr>
          <w:i/>
          <w:lang w:val="en-US"/>
        </w:rPr>
      </w:pPr>
      <w:r w:rsidRPr="00014B03">
        <w:rPr>
          <w:i/>
          <w:lang w:val="en-US"/>
        </w:rPr>
        <w:t>Study changes needed for Configured Grant support in NR-U</w:t>
      </w:r>
    </w:p>
    <w:p w14:paraId="6C47A7AD" w14:textId="77777777" w:rsidR="00AB1D8A" w:rsidRPr="00014B03" w:rsidRDefault="00AB1D8A" w:rsidP="00AB1D8A">
      <w:pPr>
        <w:widowControl w:val="0"/>
        <w:numPr>
          <w:ilvl w:val="0"/>
          <w:numId w:val="26"/>
        </w:numPr>
        <w:jc w:val="both"/>
        <w:rPr>
          <w:i/>
          <w:lang w:val="en-US"/>
        </w:rPr>
      </w:pPr>
      <w:r w:rsidRPr="00014B03">
        <w:rPr>
          <w:i/>
          <w:lang w:val="en-US"/>
        </w:rPr>
        <w:t xml:space="preserve">Baseline for study: If absence of Wi-Fi cannot be guaranteed (e.g. by regulation) </w:t>
      </w:r>
    </w:p>
    <w:p w14:paraId="13F89727" w14:textId="77777777" w:rsidR="00AB1D8A" w:rsidRPr="00014B03" w:rsidRDefault="00AB1D8A" w:rsidP="00AB1D8A">
      <w:pPr>
        <w:ind w:left="720"/>
        <w:rPr>
          <w:i/>
          <w:lang w:val="en-US"/>
        </w:rPr>
      </w:pPr>
      <w:r w:rsidRPr="00014B03">
        <w:rPr>
          <w:i/>
          <w:lang w:val="en-US"/>
        </w:rPr>
        <w:t xml:space="preserve">in the band (sub-7 GHz) where NR-U is operating, the NR-U operating bandwidth is an integer  </w:t>
      </w:r>
    </w:p>
    <w:p w14:paraId="42CB7E06" w14:textId="77777777" w:rsidR="00AB1D8A" w:rsidRPr="00014B03" w:rsidRDefault="00AB1D8A" w:rsidP="00AB1D8A">
      <w:pPr>
        <w:ind w:left="720"/>
        <w:rPr>
          <w:i/>
          <w:lang w:val="en-US"/>
        </w:rPr>
      </w:pPr>
      <w:r w:rsidRPr="00014B03">
        <w:rPr>
          <w:i/>
          <w:lang w:val="en-US"/>
        </w:rPr>
        <w:t xml:space="preserve">multiple of 20MHz </w:t>
      </w:r>
    </w:p>
    <w:p w14:paraId="13AE7144" w14:textId="77777777" w:rsidR="00AB1D8A" w:rsidRPr="00014B03" w:rsidRDefault="00AB1D8A" w:rsidP="00AB1D8A">
      <w:pPr>
        <w:widowControl w:val="0"/>
        <w:numPr>
          <w:ilvl w:val="0"/>
          <w:numId w:val="26"/>
        </w:numPr>
        <w:jc w:val="both"/>
        <w:rPr>
          <w:i/>
          <w:lang w:val="en-US"/>
        </w:rPr>
      </w:pPr>
      <w:r w:rsidRPr="00014B03">
        <w:rPr>
          <w:i/>
          <w:lang w:val="en-US"/>
        </w:rPr>
        <w:t xml:space="preserve">At least for band where absence of Wi-Fi cannot be guaranteed (e.g. by regulation), LBT can be performed in units of 20 MHz. </w:t>
      </w:r>
    </w:p>
    <w:p w14:paraId="263C0350" w14:textId="77777777" w:rsidR="00AB1D8A" w:rsidRPr="00014B03" w:rsidRDefault="00AB1D8A" w:rsidP="00AB1D8A">
      <w:pPr>
        <w:widowControl w:val="0"/>
        <w:numPr>
          <w:ilvl w:val="1"/>
          <w:numId w:val="26"/>
        </w:numPr>
        <w:jc w:val="both"/>
        <w:rPr>
          <w:i/>
          <w:lang w:val="en-US"/>
        </w:rPr>
      </w:pPr>
      <w:r w:rsidRPr="00014B03">
        <w:rPr>
          <w:i/>
          <w:lang w:val="en-US"/>
        </w:rPr>
        <w:t>FFS: details on how to perform LBT for as single carrier with bandwidth greater than 20 MHz, i.e., integer multiples of 20 MHz.</w:t>
      </w:r>
    </w:p>
    <w:p w14:paraId="6757E415" w14:textId="77777777" w:rsidR="00AB1D8A" w:rsidRPr="00014B03" w:rsidRDefault="00AB1D8A" w:rsidP="00AB1D8A">
      <w:pPr>
        <w:widowControl w:val="0"/>
        <w:numPr>
          <w:ilvl w:val="0"/>
          <w:numId w:val="26"/>
        </w:numPr>
        <w:jc w:val="both"/>
        <w:rPr>
          <w:i/>
          <w:lang w:val="en-US"/>
        </w:rPr>
      </w:pPr>
      <w:r w:rsidRPr="00014B03">
        <w:rPr>
          <w:i/>
          <w:lang w:val="en-US"/>
        </w:rPr>
        <w:t>Study whether or not the following techniques enhance performance beyond the baseline LBT mechanisms</w:t>
      </w:r>
    </w:p>
    <w:p w14:paraId="31D5F988" w14:textId="77777777" w:rsidR="00AB1D8A" w:rsidRPr="00014B03" w:rsidRDefault="00AB1D8A" w:rsidP="00AB1D8A">
      <w:pPr>
        <w:widowControl w:val="0"/>
        <w:numPr>
          <w:ilvl w:val="1"/>
          <w:numId w:val="26"/>
        </w:numPr>
        <w:jc w:val="both"/>
        <w:rPr>
          <w:i/>
          <w:lang w:val="en-US"/>
        </w:rPr>
      </w:pPr>
      <w:r w:rsidRPr="00014B03">
        <w:rPr>
          <w:i/>
          <w:lang w:val="en-US"/>
        </w:rPr>
        <w:t>Techniques to cope with directional antennas/transmissions</w:t>
      </w:r>
    </w:p>
    <w:p w14:paraId="78D2B291" w14:textId="77777777" w:rsidR="00AB1D8A" w:rsidRPr="00014B03" w:rsidRDefault="00AB1D8A" w:rsidP="00AB1D8A">
      <w:pPr>
        <w:widowControl w:val="0"/>
        <w:numPr>
          <w:ilvl w:val="1"/>
          <w:numId w:val="26"/>
        </w:numPr>
        <w:jc w:val="both"/>
        <w:rPr>
          <w:i/>
          <w:lang w:val="en-US"/>
        </w:rPr>
      </w:pPr>
      <w:r w:rsidRPr="00014B03">
        <w:rPr>
          <w:i/>
          <w:lang w:val="en-US"/>
        </w:rPr>
        <w:t>Receiver assisted LBT : RTS/CTS type mechanism</w:t>
      </w:r>
    </w:p>
    <w:p w14:paraId="46194E8D" w14:textId="77777777" w:rsidR="00AB1D8A" w:rsidRPr="00014B03" w:rsidRDefault="00AB1D8A" w:rsidP="00AB1D8A">
      <w:pPr>
        <w:widowControl w:val="0"/>
        <w:numPr>
          <w:ilvl w:val="2"/>
          <w:numId w:val="26"/>
        </w:numPr>
        <w:jc w:val="both"/>
        <w:rPr>
          <w:i/>
          <w:lang w:val="en-US"/>
        </w:rPr>
      </w:pPr>
      <w:r w:rsidRPr="00014B03">
        <w:rPr>
          <w:i/>
          <w:lang w:val="en-US"/>
        </w:rPr>
        <w:t xml:space="preserve">On-demand receiver assisted LBT: For example receiver assisted LBT enabled only when needed </w:t>
      </w:r>
    </w:p>
    <w:p w14:paraId="53E74406" w14:textId="77777777" w:rsidR="00AB1D8A" w:rsidRPr="00014B03" w:rsidRDefault="00AB1D8A" w:rsidP="00AB1D8A">
      <w:pPr>
        <w:widowControl w:val="0"/>
        <w:numPr>
          <w:ilvl w:val="1"/>
          <w:numId w:val="26"/>
        </w:numPr>
        <w:jc w:val="both"/>
        <w:rPr>
          <w:i/>
          <w:lang w:val="en-US"/>
        </w:rPr>
      </w:pPr>
      <w:r w:rsidRPr="00014B03">
        <w:rPr>
          <w:i/>
          <w:lang w:val="en-US"/>
        </w:rPr>
        <w:t xml:space="preserve">Techniques to enhance spatial reuse </w:t>
      </w:r>
    </w:p>
    <w:p w14:paraId="6A297AFC" w14:textId="77777777" w:rsidR="00AB1D8A" w:rsidRPr="00014B03" w:rsidRDefault="00AB1D8A" w:rsidP="00AB1D8A">
      <w:pPr>
        <w:widowControl w:val="0"/>
        <w:numPr>
          <w:ilvl w:val="1"/>
          <w:numId w:val="26"/>
        </w:numPr>
        <w:jc w:val="both"/>
        <w:rPr>
          <w:i/>
          <w:lang w:val="en-US"/>
        </w:rPr>
      </w:pPr>
      <w:r w:rsidRPr="00014B03">
        <w:rPr>
          <w:i/>
          <w:lang w:val="en-US"/>
        </w:rPr>
        <w:t>Preamble detection</w:t>
      </w:r>
    </w:p>
    <w:p w14:paraId="54600976" w14:textId="77777777" w:rsidR="00AB1D8A" w:rsidRPr="00014B03" w:rsidRDefault="00AB1D8A" w:rsidP="00AB1D8A">
      <w:pPr>
        <w:widowControl w:val="0"/>
        <w:numPr>
          <w:ilvl w:val="1"/>
          <w:numId w:val="26"/>
        </w:numPr>
        <w:jc w:val="both"/>
        <w:rPr>
          <w:i/>
          <w:lang w:val="en-US"/>
        </w:rPr>
      </w:pPr>
      <w:r w:rsidRPr="00014B03">
        <w:rPr>
          <w:i/>
          <w:lang w:val="en-US"/>
        </w:rPr>
        <w:t>Enhancements to baseline LBT mechanisms above 7 GHz</w:t>
      </w:r>
    </w:p>
    <w:p w14:paraId="0357CDA3" w14:textId="77777777" w:rsidR="00AB1D8A" w:rsidRPr="00014B03" w:rsidRDefault="00AB1D8A" w:rsidP="00AB1D8A">
      <w:pPr>
        <w:widowControl w:val="0"/>
        <w:numPr>
          <w:ilvl w:val="0"/>
          <w:numId w:val="26"/>
        </w:numPr>
        <w:jc w:val="both"/>
        <w:rPr>
          <w:i/>
          <w:lang w:val="en-US"/>
        </w:rPr>
      </w:pPr>
      <w:r w:rsidRPr="00014B03">
        <w:rPr>
          <w:i/>
          <w:lang w:val="en-US"/>
        </w:rPr>
        <w:t xml:space="preserve">Note: LTE-LAA LBT mechanism are assumed as baseline for evaluations for 5GHz. </w:t>
      </w:r>
    </w:p>
    <w:p w14:paraId="5A788A8E" w14:textId="77777777" w:rsidR="00AB1D8A" w:rsidRDefault="00AB1D8A" w:rsidP="00AB1D8A">
      <w:pPr>
        <w:widowControl w:val="0"/>
        <w:numPr>
          <w:ilvl w:val="0"/>
          <w:numId w:val="26"/>
        </w:numPr>
        <w:jc w:val="both"/>
        <w:rPr>
          <w:i/>
          <w:lang w:val="en-US"/>
        </w:rPr>
      </w:pPr>
      <w:r w:rsidRPr="00014B03">
        <w:rPr>
          <w:i/>
          <w:lang w:val="en-US"/>
        </w:rPr>
        <w:t>Note: Other aspects are not precluded from being included</w:t>
      </w:r>
    </w:p>
    <w:p w14:paraId="5D684718" w14:textId="77777777" w:rsidR="00AB1D8A" w:rsidRDefault="00AB1D8A" w:rsidP="00AB1D8A">
      <w:pPr>
        <w:widowControl w:val="0"/>
        <w:jc w:val="both"/>
        <w:rPr>
          <w:lang w:val="en-US"/>
        </w:rPr>
      </w:pPr>
    </w:p>
    <w:p w14:paraId="6175D565" w14:textId="77777777" w:rsidR="00A53DF3" w:rsidRDefault="00A53DF3" w:rsidP="00ED218B">
      <w:pPr>
        <w:tabs>
          <w:tab w:val="left" w:pos="720"/>
        </w:tabs>
        <w:rPr>
          <w:sz w:val="22"/>
          <w:szCs w:val="22"/>
        </w:rPr>
      </w:pPr>
    </w:p>
    <w:p w14:paraId="3525B25F" w14:textId="0BFCD845" w:rsidR="00485C27" w:rsidRPr="00A2299C" w:rsidRDefault="001A5BE4" w:rsidP="00ED218B">
      <w:pPr>
        <w:tabs>
          <w:tab w:val="left" w:pos="720"/>
        </w:tabs>
        <w:rPr>
          <w:rFonts w:eastAsia="Batang"/>
          <w:sz w:val="22"/>
          <w:szCs w:val="22"/>
          <w:lang w:val="en-US" w:eastAsia="ko-KR"/>
        </w:rPr>
      </w:pPr>
      <w:r w:rsidRPr="00A2299C">
        <w:rPr>
          <w:sz w:val="22"/>
          <w:szCs w:val="22"/>
        </w:rPr>
        <w:lastRenderedPageBreak/>
        <w:t>Ba</w:t>
      </w:r>
      <w:r w:rsidR="00EF1127" w:rsidRPr="00A2299C">
        <w:rPr>
          <w:sz w:val="22"/>
          <w:szCs w:val="22"/>
        </w:rPr>
        <w:t xml:space="preserve">sed on these agreements, </w:t>
      </w:r>
      <w:r w:rsidR="00175D3D">
        <w:rPr>
          <w:sz w:val="22"/>
          <w:szCs w:val="22"/>
        </w:rPr>
        <w:t xml:space="preserve">we </w:t>
      </w:r>
      <w:r w:rsidR="00A53DF3">
        <w:rPr>
          <w:sz w:val="22"/>
          <w:szCs w:val="22"/>
        </w:rPr>
        <w:t xml:space="preserve">observe that NR based unlicensed operation must study </w:t>
      </w:r>
      <w:r w:rsidR="007A5AF8">
        <w:rPr>
          <w:sz w:val="22"/>
          <w:szCs w:val="22"/>
        </w:rPr>
        <w:t xml:space="preserve">carrier bandwidths (CBWs) for </w:t>
      </w:r>
      <w:r w:rsidR="00A53DF3">
        <w:rPr>
          <w:sz w:val="22"/>
          <w:szCs w:val="22"/>
        </w:rPr>
        <w:t xml:space="preserve">unlicensed spectrum </w:t>
      </w:r>
      <w:r w:rsidR="00580925">
        <w:rPr>
          <w:sz w:val="22"/>
          <w:szCs w:val="22"/>
        </w:rPr>
        <w:t xml:space="preserve">for the supported deployment scenarios. </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096EB57A" w14:textId="6EA1AE64" w:rsidR="00FB79C8" w:rsidRDefault="00FB79C8" w:rsidP="001679F4">
      <w:pPr>
        <w:spacing w:before="120" w:after="120"/>
        <w:jc w:val="both"/>
        <w:rPr>
          <w:rFonts w:eastAsia="Batang"/>
          <w:sz w:val="22"/>
          <w:szCs w:val="22"/>
          <w:lang w:val="en-US" w:eastAsia="ko-KR"/>
        </w:rPr>
      </w:pPr>
      <w:r>
        <w:rPr>
          <w:rFonts w:eastAsia="Batang"/>
          <w:sz w:val="22"/>
          <w:szCs w:val="22"/>
          <w:lang w:val="en-US" w:eastAsia="ko-KR"/>
        </w:rPr>
        <w:t xml:space="preserve">We discuss </w:t>
      </w:r>
      <w:r w:rsidR="001D563D">
        <w:rPr>
          <w:rFonts w:eastAsia="Batang"/>
          <w:sz w:val="22"/>
          <w:szCs w:val="22"/>
          <w:lang w:val="en-US" w:eastAsia="ko-KR"/>
        </w:rPr>
        <w:t>carrier bandwidth</w:t>
      </w:r>
      <w:r w:rsidR="007A5AF8">
        <w:rPr>
          <w:rFonts w:eastAsia="Batang"/>
          <w:sz w:val="22"/>
          <w:szCs w:val="22"/>
          <w:lang w:val="en-US" w:eastAsia="ko-KR"/>
        </w:rPr>
        <w:t xml:space="preserve"> </w:t>
      </w:r>
      <w:r w:rsidR="00A47839">
        <w:rPr>
          <w:rFonts w:eastAsia="Batang"/>
          <w:sz w:val="22"/>
          <w:szCs w:val="22"/>
          <w:lang w:val="en-US" w:eastAsia="ko-KR"/>
        </w:rPr>
        <w:t>of</w:t>
      </w:r>
      <w:r w:rsidR="007A5AF8">
        <w:rPr>
          <w:rFonts w:eastAsia="Batang"/>
          <w:sz w:val="22"/>
          <w:szCs w:val="22"/>
          <w:lang w:val="en-US" w:eastAsia="ko-KR"/>
        </w:rPr>
        <w:t xml:space="preserve"> </w:t>
      </w:r>
      <w:r>
        <w:rPr>
          <w:rFonts w:eastAsia="Batang"/>
          <w:sz w:val="22"/>
          <w:szCs w:val="22"/>
          <w:lang w:val="en-US" w:eastAsia="ko-KR"/>
        </w:rPr>
        <w:t xml:space="preserve">NR </w:t>
      </w:r>
      <w:r w:rsidR="007A5AF8">
        <w:rPr>
          <w:rFonts w:eastAsia="Batang"/>
          <w:sz w:val="22"/>
          <w:szCs w:val="22"/>
          <w:lang w:val="en-US" w:eastAsia="ko-KR"/>
        </w:rPr>
        <w:t xml:space="preserve">operation in </w:t>
      </w:r>
      <w:r w:rsidR="007B1A95">
        <w:rPr>
          <w:rFonts w:eastAsia="Batang"/>
          <w:sz w:val="22"/>
          <w:szCs w:val="22"/>
          <w:lang w:val="en-US" w:eastAsia="ko-KR"/>
        </w:rPr>
        <w:t xml:space="preserve">unlicensed </w:t>
      </w:r>
      <w:r w:rsidR="007A5AF8">
        <w:rPr>
          <w:rFonts w:eastAsia="Batang"/>
          <w:sz w:val="22"/>
          <w:szCs w:val="22"/>
          <w:lang w:val="en-US" w:eastAsia="ko-KR"/>
        </w:rPr>
        <w:t xml:space="preserve">spectrum. </w:t>
      </w:r>
    </w:p>
    <w:p w14:paraId="573540BB" w14:textId="46B7B690" w:rsidR="007B1A95" w:rsidRPr="00B243A9" w:rsidRDefault="007B1A95" w:rsidP="007B1A95">
      <w:pPr>
        <w:pStyle w:val="Heading3"/>
        <w:rPr>
          <w:b/>
          <w:sz w:val="28"/>
        </w:rPr>
      </w:pPr>
      <w:r w:rsidRPr="00B243A9">
        <w:rPr>
          <w:b/>
          <w:sz w:val="28"/>
        </w:rPr>
        <w:t xml:space="preserve">2.1 </w:t>
      </w:r>
      <w:r>
        <w:rPr>
          <w:b/>
          <w:sz w:val="28"/>
        </w:rPr>
        <w:t>C</w:t>
      </w:r>
      <w:r w:rsidR="00495DC2">
        <w:rPr>
          <w:b/>
          <w:sz w:val="28"/>
        </w:rPr>
        <w:t xml:space="preserve">arrier </w:t>
      </w:r>
      <w:r>
        <w:rPr>
          <w:b/>
          <w:sz w:val="28"/>
        </w:rPr>
        <w:t>B</w:t>
      </w:r>
      <w:r w:rsidR="00495DC2">
        <w:rPr>
          <w:b/>
          <w:sz w:val="28"/>
        </w:rPr>
        <w:t>andwidth</w:t>
      </w:r>
      <w:r>
        <w:rPr>
          <w:b/>
          <w:sz w:val="28"/>
        </w:rPr>
        <w:t xml:space="preserve"> for NR in unlicensed</w:t>
      </w:r>
    </w:p>
    <w:p w14:paraId="07B7975D" w14:textId="4BAC2531" w:rsidR="002161A5" w:rsidRDefault="002161A5" w:rsidP="001679F4">
      <w:pPr>
        <w:spacing w:before="120" w:after="120"/>
        <w:jc w:val="both"/>
        <w:rPr>
          <w:rFonts w:eastAsia="Batang"/>
          <w:sz w:val="22"/>
          <w:szCs w:val="22"/>
          <w:lang w:val="en-US" w:eastAsia="ko-KR"/>
        </w:rPr>
      </w:pPr>
      <w:r>
        <w:rPr>
          <w:rFonts w:eastAsia="Batang"/>
          <w:sz w:val="22"/>
          <w:szCs w:val="22"/>
          <w:lang w:val="en-US" w:eastAsia="ko-KR"/>
        </w:rPr>
        <w:t>In LTE operation in unlicensed spectrum, the most efficient spectrum utilization is achieved at 20MHz, which is the maximum supported CBW. However, even if the 20MHz carriers (operating as SCells) are contiguous, significant spectrum is lost in providing guard bands between carriers</w:t>
      </w:r>
      <w:r w:rsidR="003F24DB">
        <w:rPr>
          <w:rFonts w:eastAsia="Batang"/>
          <w:sz w:val="22"/>
          <w:szCs w:val="22"/>
          <w:lang w:val="en-US" w:eastAsia="ko-KR"/>
        </w:rPr>
        <w:t xml:space="preserve"> as illustrated in Figure 1A</w:t>
      </w:r>
      <w:r>
        <w:rPr>
          <w:rFonts w:eastAsia="Batang"/>
          <w:sz w:val="22"/>
          <w:szCs w:val="22"/>
          <w:lang w:val="en-US" w:eastAsia="ko-KR"/>
        </w:rPr>
        <w:t>. Also</w:t>
      </w:r>
      <w:r w:rsidR="00037AB3">
        <w:rPr>
          <w:rFonts w:eastAsia="Batang"/>
          <w:sz w:val="22"/>
          <w:szCs w:val="22"/>
          <w:lang w:val="en-US" w:eastAsia="ko-KR"/>
        </w:rPr>
        <w:t>,</w:t>
      </w:r>
      <w:r>
        <w:rPr>
          <w:rFonts w:eastAsia="Batang"/>
          <w:sz w:val="22"/>
          <w:szCs w:val="22"/>
          <w:lang w:val="en-US" w:eastAsia="ko-KR"/>
        </w:rPr>
        <w:t xml:space="preserve"> </w:t>
      </w:r>
      <w:r w:rsidR="00037AB3">
        <w:rPr>
          <w:rFonts w:eastAsia="Batang"/>
          <w:sz w:val="22"/>
          <w:szCs w:val="22"/>
          <w:lang w:val="en-US" w:eastAsia="ko-KR"/>
        </w:rPr>
        <w:t xml:space="preserve">control </w:t>
      </w:r>
      <w:r>
        <w:rPr>
          <w:rFonts w:eastAsia="Batang"/>
          <w:sz w:val="22"/>
          <w:szCs w:val="22"/>
          <w:lang w:val="en-US" w:eastAsia="ko-KR"/>
        </w:rPr>
        <w:t xml:space="preserve">signaling overhead is higher in operation on multiple cells compared to operation on a single cell. On the other hand, NR supports the </w:t>
      </w:r>
      <w:r w:rsidR="00037AB3">
        <w:rPr>
          <w:rFonts w:eastAsia="Batang"/>
          <w:sz w:val="22"/>
          <w:szCs w:val="22"/>
          <w:lang w:val="en-US" w:eastAsia="ko-KR"/>
        </w:rPr>
        <w:t xml:space="preserve">wider </w:t>
      </w:r>
      <w:r>
        <w:rPr>
          <w:rFonts w:eastAsia="Batang"/>
          <w:sz w:val="22"/>
          <w:szCs w:val="22"/>
          <w:lang w:val="en-US" w:eastAsia="ko-KR"/>
        </w:rPr>
        <w:t>carrier bandwidths (CBWs)</w:t>
      </w:r>
      <w:r w:rsidR="00037AB3">
        <w:rPr>
          <w:rFonts w:eastAsia="Batang"/>
          <w:sz w:val="22"/>
          <w:szCs w:val="22"/>
          <w:lang w:val="en-US" w:eastAsia="ko-KR"/>
        </w:rPr>
        <w:t>. I</w:t>
      </w:r>
      <w:r>
        <w:rPr>
          <w:rFonts w:eastAsia="Batang"/>
          <w:sz w:val="22"/>
          <w:szCs w:val="22"/>
          <w:lang w:val="en-US" w:eastAsia="ko-KR"/>
        </w:rPr>
        <w:t>n FR1</w:t>
      </w:r>
      <w:r w:rsidR="00037AB3">
        <w:rPr>
          <w:rFonts w:eastAsia="Batang"/>
          <w:sz w:val="22"/>
          <w:szCs w:val="22"/>
          <w:lang w:val="en-US" w:eastAsia="ko-KR"/>
        </w:rPr>
        <w:t>, the following CBWs are supported</w:t>
      </w:r>
      <w:r>
        <w:rPr>
          <w:rFonts w:eastAsia="Batang"/>
          <w:sz w:val="22"/>
          <w:szCs w:val="22"/>
          <w:lang w:val="en-US" w:eastAsia="ko-KR"/>
        </w:rPr>
        <w:t xml:space="preserve"> – 5MHz, 10MHz, </w:t>
      </w:r>
      <w:r w:rsidRPr="00580925">
        <w:rPr>
          <w:rFonts w:eastAsia="Batang"/>
          <w:sz w:val="22"/>
          <w:szCs w:val="22"/>
          <w:lang w:val="en-US" w:eastAsia="ko-KR"/>
        </w:rPr>
        <w:t>15MHz</w:t>
      </w:r>
      <w:r>
        <w:rPr>
          <w:rFonts w:eastAsia="Batang"/>
          <w:sz w:val="22"/>
          <w:szCs w:val="22"/>
          <w:lang w:val="en-US" w:eastAsia="ko-KR"/>
        </w:rPr>
        <w:t xml:space="preserve">, </w:t>
      </w:r>
      <w:r w:rsidRPr="00580925">
        <w:rPr>
          <w:rFonts w:eastAsia="Batang"/>
          <w:sz w:val="22"/>
          <w:szCs w:val="22"/>
          <w:lang w:val="en-US" w:eastAsia="ko-KR"/>
        </w:rPr>
        <w:t>20 MHz</w:t>
      </w:r>
      <w:r>
        <w:rPr>
          <w:rFonts w:eastAsia="Batang"/>
          <w:sz w:val="22"/>
          <w:szCs w:val="22"/>
          <w:lang w:val="en-US" w:eastAsia="ko-KR"/>
        </w:rPr>
        <w:t xml:space="preserve">, </w:t>
      </w:r>
      <w:r w:rsidRPr="00580925">
        <w:rPr>
          <w:rFonts w:eastAsia="Batang"/>
          <w:sz w:val="22"/>
          <w:szCs w:val="22"/>
          <w:lang w:val="en-US" w:eastAsia="ko-KR"/>
        </w:rPr>
        <w:t>25 MHz</w:t>
      </w:r>
      <w:r>
        <w:rPr>
          <w:rFonts w:eastAsia="Batang"/>
          <w:sz w:val="22"/>
          <w:szCs w:val="22"/>
          <w:lang w:val="en-US" w:eastAsia="ko-KR"/>
        </w:rPr>
        <w:t xml:space="preserve">, </w:t>
      </w:r>
      <w:r w:rsidRPr="00580925">
        <w:rPr>
          <w:rFonts w:eastAsia="Batang"/>
          <w:sz w:val="22"/>
          <w:szCs w:val="22"/>
          <w:lang w:val="en-US" w:eastAsia="ko-KR"/>
        </w:rPr>
        <w:t>30 MHz</w:t>
      </w:r>
      <w:r>
        <w:rPr>
          <w:rFonts w:eastAsia="Batang"/>
          <w:sz w:val="22"/>
          <w:szCs w:val="22"/>
          <w:lang w:val="en-US" w:eastAsia="ko-KR"/>
        </w:rPr>
        <w:t xml:space="preserve">, </w:t>
      </w:r>
      <w:r w:rsidRPr="00580925">
        <w:rPr>
          <w:rFonts w:eastAsia="Batang"/>
          <w:sz w:val="22"/>
          <w:szCs w:val="22"/>
          <w:lang w:val="en-US" w:eastAsia="ko-KR"/>
        </w:rPr>
        <w:t>40 MHz</w:t>
      </w:r>
      <w:r>
        <w:rPr>
          <w:rFonts w:eastAsia="Batang"/>
          <w:sz w:val="22"/>
          <w:szCs w:val="22"/>
          <w:lang w:val="en-US" w:eastAsia="ko-KR"/>
        </w:rPr>
        <w:t xml:space="preserve">, </w:t>
      </w:r>
      <w:r w:rsidRPr="00580925">
        <w:rPr>
          <w:rFonts w:eastAsia="Batang"/>
          <w:sz w:val="22"/>
          <w:szCs w:val="22"/>
          <w:lang w:val="en-US" w:eastAsia="ko-KR"/>
        </w:rPr>
        <w:t>50MHz</w:t>
      </w:r>
      <w:r>
        <w:rPr>
          <w:rFonts w:eastAsia="Batang"/>
          <w:sz w:val="22"/>
          <w:szCs w:val="22"/>
          <w:lang w:val="en-US" w:eastAsia="ko-KR"/>
        </w:rPr>
        <w:t xml:space="preserve">, </w:t>
      </w:r>
      <w:r w:rsidRPr="00580925">
        <w:rPr>
          <w:rFonts w:eastAsia="Batang"/>
          <w:sz w:val="22"/>
          <w:szCs w:val="22"/>
          <w:lang w:val="en-US" w:eastAsia="ko-KR"/>
        </w:rPr>
        <w:t>60 MHz</w:t>
      </w:r>
      <w:r>
        <w:rPr>
          <w:rFonts w:eastAsia="Batang"/>
          <w:sz w:val="22"/>
          <w:szCs w:val="22"/>
          <w:lang w:val="en-US" w:eastAsia="ko-KR"/>
        </w:rPr>
        <w:t xml:space="preserve">, </w:t>
      </w:r>
      <w:r w:rsidRPr="00580925">
        <w:rPr>
          <w:rFonts w:eastAsia="Batang"/>
          <w:sz w:val="22"/>
          <w:szCs w:val="22"/>
          <w:lang w:val="en-US" w:eastAsia="ko-KR"/>
        </w:rPr>
        <w:t>80 MHz</w:t>
      </w:r>
      <w:r>
        <w:rPr>
          <w:rFonts w:eastAsia="Batang"/>
          <w:sz w:val="22"/>
          <w:szCs w:val="22"/>
          <w:lang w:val="en-US" w:eastAsia="ko-KR"/>
        </w:rPr>
        <w:t>, 100</w:t>
      </w:r>
      <w:r w:rsidRPr="00580925">
        <w:rPr>
          <w:rFonts w:eastAsia="Batang"/>
          <w:sz w:val="22"/>
          <w:szCs w:val="22"/>
          <w:lang w:val="en-US" w:eastAsia="ko-KR"/>
        </w:rPr>
        <w:t>MHz</w:t>
      </w:r>
      <w:r>
        <w:rPr>
          <w:rFonts w:eastAsia="Batang"/>
          <w:sz w:val="22"/>
          <w:szCs w:val="22"/>
          <w:lang w:val="en-US" w:eastAsia="ko-KR"/>
        </w:rPr>
        <w:t xml:space="preserve">. </w:t>
      </w:r>
      <w:r w:rsidR="00037AB3">
        <w:rPr>
          <w:rFonts w:eastAsia="Batang"/>
          <w:sz w:val="22"/>
          <w:szCs w:val="22"/>
          <w:lang w:val="en-US" w:eastAsia="ko-KR"/>
        </w:rPr>
        <w:t xml:space="preserve">In FR2, </w:t>
      </w:r>
      <w:r>
        <w:rPr>
          <w:rFonts w:eastAsia="Batang"/>
          <w:sz w:val="22"/>
          <w:szCs w:val="22"/>
          <w:lang w:val="en-US" w:eastAsia="ko-KR"/>
        </w:rPr>
        <w:t xml:space="preserve">the following </w:t>
      </w:r>
      <w:r w:rsidR="00037AB3">
        <w:rPr>
          <w:rFonts w:eastAsia="Batang"/>
          <w:sz w:val="22"/>
          <w:szCs w:val="22"/>
          <w:lang w:val="en-US" w:eastAsia="ko-KR"/>
        </w:rPr>
        <w:t>CBWs are supported</w:t>
      </w:r>
      <w:r>
        <w:rPr>
          <w:rFonts w:eastAsia="Batang"/>
          <w:sz w:val="22"/>
          <w:szCs w:val="22"/>
          <w:lang w:val="en-US" w:eastAsia="ko-KR"/>
        </w:rPr>
        <w:t>– 50MHz, 100MHz, 200</w:t>
      </w:r>
      <w:r w:rsidRPr="00580925">
        <w:rPr>
          <w:rFonts w:eastAsia="Batang"/>
          <w:sz w:val="22"/>
          <w:szCs w:val="22"/>
          <w:lang w:val="en-US" w:eastAsia="ko-KR"/>
        </w:rPr>
        <w:t>MHz</w:t>
      </w:r>
      <w:r>
        <w:rPr>
          <w:rFonts w:eastAsia="Batang"/>
          <w:sz w:val="22"/>
          <w:szCs w:val="22"/>
          <w:lang w:val="en-US" w:eastAsia="ko-KR"/>
        </w:rPr>
        <w:t>, and 400</w:t>
      </w:r>
      <w:r w:rsidRPr="00580925">
        <w:rPr>
          <w:rFonts w:eastAsia="Batang"/>
          <w:sz w:val="22"/>
          <w:szCs w:val="22"/>
          <w:lang w:val="en-US" w:eastAsia="ko-KR"/>
        </w:rPr>
        <w:t>MHz</w:t>
      </w:r>
      <w:r>
        <w:rPr>
          <w:rFonts w:eastAsia="Batang"/>
          <w:sz w:val="22"/>
          <w:szCs w:val="22"/>
          <w:lang w:val="en-US" w:eastAsia="ko-KR"/>
        </w:rPr>
        <w:t>. NR in unlicensed (NR-U) would benefit from leveraging the flexibility in supporting various CBWs depending on channel availability</w:t>
      </w:r>
      <w:r w:rsidR="00037AB3">
        <w:rPr>
          <w:rFonts w:eastAsia="Batang"/>
          <w:sz w:val="22"/>
          <w:szCs w:val="22"/>
          <w:lang w:val="en-US" w:eastAsia="ko-KR"/>
        </w:rPr>
        <w:t>, thereby reducing loss of spectrum due in guard bands and overhead resources.</w:t>
      </w:r>
      <w:r w:rsidR="003F24DB">
        <w:rPr>
          <w:rFonts w:eastAsia="Batang"/>
          <w:sz w:val="22"/>
          <w:szCs w:val="22"/>
          <w:lang w:val="en-US" w:eastAsia="ko-KR"/>
        </w:rPr>
        <w:t xml:space="preserve"> Figure </w:t>
      </w:r>
      <w:r w:rsidR="00A47839">
        <w:rPr>
          <w:rFonts w:eastAsia="Batang"/>
          <w:sz w:val="22"/>
          <w:szCs w:val="22"/>
          <w:lang w:val="en-US" w:eastAsia="ko-KR"/>
        </w:rPr>
        <w:t>1</w:t>
      </w:r>
      <w:r w:rsidR="003F24DB">
        <w:rPr>
          <w:rFonts w:eastAsia="Batang"/>
          <w:sz w:val="22"/>
          <w:szCs w:val="22"/>
          <w:lang w:val="en-US" w:eastAsia="ko-KR"/>
        </w:rPr>
        <w:t>B shows that the guard bands become</w:t>
      </w:r>
      <w:r w:rsidR="00A47839">
        <w:rPr>
          <w:rFonts w:eastAsia="Batang"/>
          <w:sz w:val="22"/>
          <w:szCs w:val="22"/>
          <w:lang w:val="en-US" w:eastAsia="ko-KR"/>
        </w:rPr>
        <w:t xml:space="preserve"> </w:t>
      </w:r>
      <w:r w:rsidR="003F24DB">
        <w:rPr>
          <w:rFonts w:eastAsia="Batang"/>
          <w:sz w:val="22"/>
          <w:szCs w:val="22"/>
          <w:lang w:val="en-US" w:eastAsia="ko-KR"/>
        </w:rPr>
        <w:t xml:space="preserve">in-band spectrum when the available 20MHz carriers are combined into a single larger wideband carrier – 60MHz </w:t>
      </w:r>
      <w:r w:rsidR="00A47839">
        <w:rPr>
          <w:rFonts w:eastAsia="Batang"/>
          <w:sz w:val="22"/>
          <w:szCs w:val="22"/>
          <w:lang w:val="en-US" w:eastAsia="ko-KR"/>
        </w:rPr>
        <w:t>(for SCell</w:t>
      </w:r>
      <w:r w:rsidR="00A47839" w:rsidRPr="002B73B2">
        <w:rPr>
          <w:rFonts w:eastAsia="Batang"/>
          <w:sz w:val="22"/>
          <w:szCs w:val="22"/>
          <w:vertAlign w:val="subscript"/>
          <w:lang w:val="en-US" w:eastAsia="ko-KR"/>
        </w:rPr>
        <w:t>1</w:t>
      </w:r>
      <w:r w:rsidR="00A47839">
        <w:rPr>
          <w:rFonts w:eastAsia="Batang"/>
          <w:sz w:val="22"/>
          <w:szCs w:val="22"/>
          <w:lang w:val="en-US" w:eastAsia="ko-KR"/>
        </w:rPr>
        <w:t xml:space="preserve">) </w:t>
      </w:r>
      <w:r w:rsidR="003F24DB">
        <w:rPr>
          <w:rFonts w:eastAsia="Batang"/>
          <w:sz w:val="22"/>
          <w:szCs w:val="22"/>
          <w:lang w:val="en-US" w:eastAsia="ko-KR"/>
        </w:rPr>
        <w:t>in this case.</w:t>
      </w:r>
    </w:p>
    <w:p w14:paraId="5B847ED4" w14:textId="261BB42D" w:rsidR="00495DC2" w:rsidRPr="009179DA" w:rsidRDefault="00495DC2" w:rsidP="001679F4">
      <w:pPr>
        <w:spacing w:before="120" w:after="120"/>
        <w:jc w:val="both"/>
        <w:rPr>
          <w:rFonts w:eastAsia="Batang"/>
          <w:b/>
          <w:sz w:val="22"/>
          <w:szCs w:val="22"/>
          <w:lang w:val="en-US" w:eastAsia="ko-KR"/>
        </w:rPr>
      </w:pPr>
      <w:r w:rsidRPr="009179DA">
        <w:rPr>
          <w:rFonts w:eastAsia="Batang"/>
          <w:b/>
          <w:i/>
          <w:sz w:val="22"/>
          <w:szCs w:val="22"/>
          <w:lang w:val="en-US" w:eastAsia="ko-KR"/>
        </w:rPr>
        <w:t>Observation</w:t>
      </w:r>
      <w:r w:rsidR="009179DA">
        <w:rPr>
          <w:rFonts w:eastAsia="Batang"/>
          <w:b/>
          <w:i/>
          <w:sz w:val="22"/>
          <w:szCs w:val="22"/>
          <w:lang w:val="en-US" w:eastAsia="ko-KR"/>
        </w:rPr>
        <w:t xml:space="preserve"> 1</w:t>
      </w:r>
      <w:r w:rsidRPr="009179DA">
        <w:rPr>
          <w:rFonts w:eastAsia="Batang"/>
          <w:b/>
          <w:sz w:val="22"/>
          <w:szCs w:val="22"/>
          <w:lang w:val="en-US" w:eastAsia="ko-KR"/>
        </w:rPr>
        <w:t xml:space="preserve">: Wideband operation has </w:t>
      </w:r>
      <w:r w:rsidR="002121C6" w:rsidRPr="009179DA">
        <w:rPr>
          <w:rFonts w:eastAsia="Batang"/>
          <w:b/>
          <w:sz w:val="22"/>
          <w:szCs w:val="22"/>
          <w:lang w:val="en-US" w:eastAsia="ko-KR"/>
        </w:rPr>
        <w:t xml:space="preserve">fewer wasted resources </w:t>
      </w:r>
      <w:r w:rsidR="00A47839">
        <w:rPr>
          <w:rFonts w:eastAsia="Batang"/>
          <w:b/>
          <w:sz w:val="22"/>
          <w:szCs w:val="22"/>
          <w:lang w:val="en-US" w:eastAsia="ko-KR"/>
        </w:rPr>
        <w:t>caused by</w:t>
      </w:r>
      <w:r w:rsidR="00A47839" w:rsidRPr="009179DA">
        <w:rPr>
          <w:rFonts w:eastAsia="Batang"/>
          <w:b/>
          <w:sz w:val="22"/>
          <w:szCs w:val="22"/>
          <w:lang w:val="en-US" w:eastAsia="ko-KR"/>
        </w:rPr>
        <w:t xml:space="preserve"> </w:t>
      </w:r>
      <w:r w:rsidRPr="009179DA">
        <w:rPr>
          <w:rFonts w:eastAsia="Batang"/>
          <w:b/>
          <w:sz w:val="22"/>
          <w:szCs w:val="22"/>
          <w:lang w:val="en-US" w:eastAsia="ko-KR"/>
        </w:rPr>
        <w:t>guard bands.</w:t>
      </w:r>
    </w:p>
    <w:p w14:paraId="5E78CC58" w14:textId="77623DF9" w:rsidR="00580925" w:rsidRDefault="005430EE" w:rsidP="005430EE">
      <w:pPr>
        <w:spacing w:before="120" w:after="120"/>
        <w:jc w:val="center"/>
        <w:rPr>
          <w:rFonts w:eastAsia="Batang"/>
          <w:sz w:val="22"/>
          <w:szCs w:val="22"/>
          <w:lang w:val="en-US" w:eastAsia="ko-KR"/>
        </w:rPr>
      </w:pPr>
      <w:r>
        <w:rPr>
          <w:noProof/>
          <w:lang w:val="en-US"/>
        </w:rPr>
        <w:drawing>
          <wp:inline distT="0" distB="0" distL="0" distR="0" wp14:anchorId="5D090D16" wp14:editId="51F71AF4">
            <wp:extent cx="3657600" cy="346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3467100"/>
                    </a:xfrm>
                    <a:prstGeom prst="rect">
                      <a:avLst/>
                    </a:prstGeom>
                    <a:noFill/>
                    <a:ln>
                      <a:noFill/>
                    </a:ln>
                  </pic:spPr>
                </pic:pic>
              </a:graphicData>
            </a:graphic>
          </wp:inline>
        </w:drawing>
      </w:r>
    </w:p>
    <w:p w14:paraId="3CD1370A" w14:textId="4D532A8E" w:rsidR="005430EE" w:rsidRPr="005430EE" w:rsidRDefault="005430EE" w:rsidP="00283A71">
      <w:pPr>
        <w:pStyle w:val="Caption"/>
        <w:jc w:val="center"/>
        <w:rPr>
          <w:b/>
          <w:i w:val="0"/>
        </w:rPr>
      </w:pPr>
      <w:r w:rsidRPr="005430EE">
        <w:rPr>
          <w:b/>
          <w:i w:val="0"/>
        </w:rPr>
        <w:t xml:space="preserve">Figure </w:t>
      </w:r>
      <w:r w:rsidRPr="005430EE">
        <w:rPr>
          <w:b/>
          <w:i w:val="0"/>
        </w:rPr>
        <w:fldChar w:fldCharType="begin"/>
      </w:r>
      <w:r w:rsidRPr="005430EE">
        <w:rPr>
          <w:b/>
          <w:i w:val="0"/>
        </w:rPr>
        <w:instrText xml:space="preserve"> SEQ Figure \* ARABIC </w:instrText>
      </w:r>
      <w:r w:rsidRPr="005430EE">
        <w:rPr>
          <w:b/>
          <w:i w:val="0"/>
        </w:rPr>
        <w:fldChar w:fldCharType="separate"/>
      </w:r>
      <w:r w:rsidRPr="005430EE">
        <w:rPr>
          <w:b/>
          <w:i w:val="0"/>
          <w:noProof/>
        </w:rPr>
        <w:t>1</w:t>
      </w:r>
      <w:r w:rsidRPr="005430EE">
        <w:rPr>
          <w:b/>
          <w:i w:val="0"/>
        </w:rPr>
        <w:fldChar w:fldCharType="end"/>
      </w:r>
      <w:r w:rsidRPr="005430EE">
        <w:rPr>
          <w:b/>
          <w:i w:val="0"/>
        </w:rPr>
        <w:t xml:space="preserve"> </w:t>
      </w:r>
      <w:r w:rsidR="007A5AF8">
        <w:rPr>
          <w:b/>
          <w:i w:val="0"/>
        </w:rPr>
        <w:t xml:space="preserve">Operation in </w:t>
      </w:r>
      <w:r w:rsidRPr="005430EE">
        <w:rPr>
          <w:b/>
          <w:i w:val="0"/>
        </w:rPr>
        <w:t>unlicensed spectrum</w:t>
      </w:r>
      <w:r w:rsidR="00283A71">
        <w:rPr>
          <w:b/>
          <w:i w:val="0"/>
        </w:rPr>
        <w:t xml:space="preserve"> in FR1</w:t>
      </w:r>
      <w:r w:rsidRPr="005430EE">
        <w:rPr>
          <w:b/>
          <w:i w:val="0"/>
        </w:rPr>
        <w:t xml:space="preserve">. (A) </w:t>
      </w:r>
      <w:r w:rsidR="00283A71">
        <w:rPr>
          <w:b/>
          <w:i w:val="0"/>
        </w:rPr>
        <w:t xml:space="preserve">An </w:t>
      </w:r>
      <w:r w:rsidRPr="005430EE">
        <w:rPr>
          <w:b/>
          <w:i w:val="0"/>
        </w:rPr>
        <w:t xml:space="preserve">example of </w:t>
      </w:r>
      <w:r w:rsidR="007A5AF8">
        <w:rPr>
          <w:b/>
          <w:i w:val="0"/>
        </w:rPr>
        <w:t xml:space="preserve">20 MHz </w:t>
      </w:r>
      <w:r w:rsidRPr="005430EE">
        <w:rPr>
          <w:b/>
          <w:i w:val="0"/>
        </w:rPr>
        <w:t xml:space="preserve">LTE </w:t>
      </w:r>
      <w:r w:rsidR="007A5AF8">
        <w:rPr>
          <w:b/>
          <w:i w:val="0"/>
        </w:rPr>
        <w:t xml:space="preserve">SCells </w:t>
      </w:r>
      <w:r w:rsidRPr="005430EE">
        <w:rPr>
          <w:b/>
          <w:i w:val="0"/>
        </w:rPr>
        <w:t xml:space="preserve">(B) </w:t>
      </w:r>
      <w:r w:rsidR="007A5AF8">
        <w:rPr>
          <w:b/>
          <w:i w:val="0"/>
        </w:rPr>
        <w:t xml:space="preserve">Wideband channel </w:t>
      </w:r>
      <w:r w:rsidRPr="005430EE">
        <w:rPr>
          <w:b/>
          <w:i w:val="0"/>
        </w:rPr>
        <w:t xml:space="preserve">for NR-U </w:t>
      </w:r>
    </w:p>
    <w:p w14:paraId="3F26FBD9" w14:textId="7BD1BC78" w:rsidR="005430EE" w:rsidRDefault="00CC2E29" w:rsidP="0075483A">
      <w:pPr>
        <w:spacing w:before="120" w:after="120"/>
        <w:jc w:val="both"/>
        <w:rPr>
          <w:rFonts w:eastAsia="Batang"/>
          <w:sz w:val="22"/>
          <w:szCs w:val="22"/>
          <w:lang w:val="en-US" w:eastAsia="ko-KR"/>
        </w:rPr>
      </w:pPr>
      <w:r>
        <w:rPr>
          <w:rFonts w:eastAsia="Batang"/>
          <w:sz w:val="22"/>
          <w:szCs w:val="22"/>
          <w:lang w:val="en-US" w:eastAsia="ko-KR"/>
        </w:rPr>
        <w:t xml:space="preserve">The channelization for NR-U must take into account </w:t>
      </w:r>
      <w:r w:rsidR="003709B3">
        <w:rPr>
          <w:rFonts w:eastAsia="Batang"/>
          <w:sz w:val="22"/>
          <w:szCs w:val="22"/>
          <w:lang w:val="en-US" w:eastAsia="ko-KR"/>
        </w:rPr>
        <w:t xml:space="preserve">of </w:t>
      </w:r>
      <w:r>
        <w:rPr>
          <w:rFonts w:eastAsia="Batang"/>
          <w:sz w:val="22"/>
          <w:szCs w:val="22"/>
          <w:lang w:val="en-US" w:eastAsia="ko-KR"/>
        </w:rPr>
        <w:t>coexistence with incumbent technologies such as WiF</w:t>
      </w:r>
      <w:r w:rsidR="0037756A">
        <w:rPr>
          <w:rFonts w:eastAsia="Batang"/>
          <w:sz w:val="22"/>
          <w:szCs w:val="22"/>
          <w:lang w:val="en-US" w:eastAsia="ko-KR"/>
        </w:rPr>
        <w:t xml:space="preserve">i.  </w:t>
      </w:r>
      <w:r w:rsidR="00341709">
        <w:rPr>
          <w:rFonts w:eastAsia="Batang"/>
          <w:sz w:val="22"/>
          <w:szCs w:val="22"/>
          <w:lang w:val="en-US" w:eastAsia="ko-KR"/>
        </w:rPr>
        <w:t>For example, t</w:t>
      </w:r>
      <w:r w:rsidR="0037756A" w:rsidRPr="0037756A">
        <w:rPr>
          <w:rFonts w:eastAsia="Batang"/>
          <w:sz w:val="22"/>
          <w:szCs w:val="22"/>
          <w:lang w:val="en-US" w:eastAsia="ko-KR"/>
        </w:rPr>
        <w:t>he ETSI harmonised standard [</w:t>
      </w:r>
      <w:r w:rsidR="006B2DC7">
        <w:rPr>
          <w:rFonts w:eastAsia="Batang"/>
          <w:sz w:val="22"/>
          <w:szCs w:val="22"/>
          <w:lang w:val="en-US" w:eastAsia="ko-KR"/>
        </w:rPr>
        <w:t>3</w:t>
      </w:r>
      <w:r w:rsidR="0037756A" w:rsidRPr="0037756A">
        <w:rPr>
          <w:rFonts w:eastAsia="Batang"/>
          <w:sz w:val="22"/>
          <w:szCs w:val="22"/>
          <w:lang w:val="en-US" w:eastAsia="ko-KR"/>
        </w:rPr>
        <w:t xml:space="preserve">] for </w:t>
      </w:r>
      <w:r w:rsidR="0037756A">
        <w:rPr>
          <w:rFonts w:eastAsia="Batang"/>
          <w:sz w:val="22"/>
          <w:szCs w:val="22"/>
          <w:lang w:val="en-US" w:eastAsia="ko-KR"/>
        </w:rPr>
        <w:t xml:space="preserve">R-LAN in 5 GHz calls for 20MHz </w:t>
      </w:r>
      <w:r w:rsidR="007A5AF8">
        <w:rPr>
          <w:rFonts w:eastAsia="Batang"/>
          <w:sz w:val="22"/>
          <w:szCs w:val="22"/>
          <w:lang w:val="en-US" w:eastAsia="ko-KR"/>
        </w:rPr>
        <w:t>channels</w:t>
      </w:r>
      <w:r w:rsidR="007A5AF8" w:rsidRPr="0037756A">
        <w:rPr>
          <w:rFonts w:eastAsia="Batang"/>
          <w:sz w:val="22"/>
          <w:szCs w:val="22"/>
          <w:lang w:val="en-US" w:eastAsia="ko-KR"/>
        </w:rPr>
        <w:t xml:space="preserve"> </w:t>
      </w:r>
      <w:r w:rsidR="0037756A" w:rsidRPr="0037756A">
        <w:rPr>
          <w:rFonts w:eastAsia="Batang"/>
          <w:sz w:val="22"/>
          <w:szCs w:val="22"/>
          <w:lang w:val="en-US" w:eastAsia="ko-KR"/>
        </w:rPr>
        <w:t xml:space="preserve">but also allows operation in smaller bands (as small as 5MHz) centered at the center of </w:t>
      </w:r>
      <w:r w:rsidR="0037756A">
        <w:rPr>
          <w:rFonts w:eastAsia="Batang"/>
          <w:sz w:val="22"/>
          <w:szCs w:val="22"/>
          <w:lang w:val="en-US" w:eastAsia="ko-KR"/>
        </w:rPr>
        <w:t xml:space="preserve">the </w:t>
      </w:r>
      <w:r w:rsidR="0037756A" w:rsidRPr="0037756A">
        <w:rPr>
          <w:rFonts w:eastAsia="Batang"/>
          <w:sz w:val="22"/>
          <w:szCs w:val="22"/>
          <w:lang w:val="en-US" w:eastAsia="ko-KR"/>
        </w:rPr>
        <w:t xml:space="preserve">20MHz </w:t>
      </w:r>
      <w:r w:rsidR="0037756A">
        <w:rPr>
          <w:rFonts w:eastAsia="Batang"/>
          <w:sz w:val="22"/>
          <w:szCs w:val="22"/>
          <w:lang w:val="en-US" w:eastAsia="ko-KR"/>
        </w:rPr>
        <w:t>channels.</w:t>
      </w:r>
      <w:r w:rsidR="00341709">
        <w:rPr>
          <w:rFonts w:eastAsia="Batang"/>
          <w:sz w:val="22"/>
          <w:szCs w:val="22"/>
          <w:lang w:val="en-US" w:eastAsia="ko-KR"/>
        </w:rPr>
        <w:t xml:space="preserve"> For FR1, especially in the 5GHz unlicensed spectrum, NR-U may consider </w:t>
      </w:r>
      <w:r w:rsidR="007A5AF8">
        <w:rPr>
          <w:rFonts w:eastAsia="Batang"/>
          <w:sz w:val="22"/>
          <w:szCs w:val="22"/>
          <w:lang w:val="en-US" w:eastAsia="ko-KR"/>
        </w:rPr>
        <w:t xml:space="preserve">a </w:t>
      </w:r>
      <w:r w:rsidR="00341709">
        <w:rPr>
          <w:rFonts w:eastAsia="Batang"/>
          <w:sz w:val="22"/>
          <w:szCs w:val="22"/>
          <w:lang w:val="en-US" w:eastAsia="ko-KR"/>
        </w:rPr>
        <w:t xml:space="preserve">similar </w:t>
      </w:r>
      <w:r w:rsidR="007A5AF8">
        <w:rPr>
          <w:rFonts w:eastAsia="Batang"/>
          <w:sz w:val="22"/>
          <w:szCs w:val="22"/>
          <w:lang w:val="en-US" w:eastAsia="ko-KR"/>
        </w:rPr>
        <w:t xml:space="preserve">design </w:t>
      </w:r>
      <w:r w:rsidR="00341709">
        <w:rPr>
          <w:rFonts w:eastAsia="Batang"/>
          <w:sz w:val="22"/>
          <w:szCs w:val="22"/>
          <w:lang w:val="en-US" w:eastAsia="ko-KR"/>
        </w:rPr>
        <w:t>so that channel sensing is not impacted for WiFi nodes.</w:t>
      </w:r>
    </w:p>
    <w:p w14:paraId="5A36B18E" w14:textId="17C89CFA" w:rsidR="009179DA" w:rsidRDefault="009179DA" w:rsidP="0075483A">
      <w:pPr>
        <w:spacing w:before="120" w:after="120"/>
        <w:jc w:val="both"/>
        <w:rPr>
          <w:rFonts w:eastAsia="Batang"/>
          <w:sz w:val="22"/>
          <w:szCs w:val="22"/>
          <w:lang w:val="en-US" w:eastAsia="ko-KR"/>
        </w:rPr>
      </w:pPr>
      <w:r w:rsidRPr="003C16FE">
        <w:rPr>
          <w:rFonts w:eastAsia="Batang"/>
          <w:b/>
          <w:i/>
          <w:sz w:val="22"/>
          <w:szCs w:val="22"/>
          <w:lang w:val="en-US" w:eastAsia="ko-KR"/>
        </w:rPr>
        <w:t>Observation 2</w:t>
      </w:r>
      <w:r w:rsidRPr="009179DA">
        <w:rPr>
          <w:rFonts w:eastAsia="Batang"/>
          <w:b/>
          <w:sz w:val="22"/>
          <w:szCs w:val="22"/>
          <w:lang w:val="en-US" w:eastAsia="ko-KR"/>
        </w:rPr>
        <w:t xml:space="preserve">: </w:t>
      </w:r>
      <w:r>
        <w:rPr>
          <w:rFonts w:eastAsia="Batang"/>
          <w:b/>
          <w:sz w:val="22"/>
          <w:szCs w:val="22"/>
          <w:lang w:val="en-US" w:eastAsia="ko-KR"/>
        </w:rPr>
        <w:t xml:space="preserve">Channelization </w:t>
      </w:r>
      <w:r w:rsidR="00DE02F4">
        <w:rPr>
          <w:rFonts w:eastAsia="Batang"/>
          <w:b/>
          <w:sz w:val="22"/>
          <w:szCs w:val="22"/>
          <w:lang w:val="en-US" w:eastAsia="ko-KR"/>
        </w:rPr>
        <w:t xml:space="preserve">and CBWs </w:t>
      </w:r>
      <w:r w:rsidR="002B73B2">
        <w:rPr>
          <w:rFonts w:eastAsia="Batang"/>
          <w:b/>
          <w:sz w:val="22"/>
          <w:szCs w:val="22"/>
          <w:lang w:val="en-US" w:eastAsia="ko-KR"/>
        </w:rPr>
        <w:t>like</w:t>
      </w:r>
      <w:r w:rsidR="00AB1D8A">
        <w:rPr>
          <w:rFonts w:eastAsia="Batang"/>
          <w:b/>
          <w:sz w:val="22"/>
          <w:szCs w:val="22"/>
          <w:lang w:val="en-US" w:eastAsia="ko-KR"/>
        </w:rPr>
        <w:t xml:space="preserve"> those of</w:t>
      </w:r>
      <w:r>
        <w:rPr>
          <w:rFonts w:eastAsia="Batang"/>
          <w:b/>
          <w:sz w:val="22"/>
          <w:szCs w:val="22"/>
          <w:lang w:val="en-US" w:eastAsia="ko-KR"/>
        </w:rPr>
        <w:t xml:space="preserve"> incumbent technologies allows NR-U to coexist with the incumbents</w:t>
      </w:r>
      <w:r w:rsidRPr="009179DA">
        <w:rPr>
          <w:rFonts w:eastAsia="Batang"/>
          <w:b/>
          <w:sz w:val="22"/>
          <w:szCs w:val="22"/>
          <w:lang w:val="en-US" w:eastAsia="ko-KR"/>
        </w:rPr>
        <w:t>.</w:t>
      </w:r>
    </w:p>
    <w:p w14:paraId="3D6EE4CA" w14:textId="38384147" w:rsidR="00231627" w:rsidRDefault="00C53A12" w:rsidP="0075483A">
      <w:pPr>
        <w:spacing w:before="120" w:after="120"/>
        <w:jc w:val="both"/>
        <w:rPr>
          <w:rFonts w:eastAsia="Batang"/>
          <w:sz w:val="22"/>
          <w:szCs w:val="22"/>
          <w:lang w:val="en-US" w:eastAsia="ko-KR"/>
        </w:rPr>
      </w:pPr>
      <w:r>
        <w:rPr>
          <w:rFonts w:eastAsia="Batang"/>
          <w:sz w:val="22"/>
          <w:szCs w:val="22"/>
          <w:lang w:val="en-US" w:eastAsia="ko-KR"/>
        </w:rPr>
        <w:t>802.11ac</w:t>
      </w:r>
      <w:r w:rsidR="002E2EB5">
        <w:rPr>
          <w:rFonts w:eastAsia="Batang"/>
          <w:sz w:val="22"/>
          <w:szCs w:val="22"/>
          <w:lang w:val="en-US" w:eastAsia="ko-KR"/>
        </w:rPr>
        <w:t xml:space="preserve"> and 802.11n</w:t>
      </w:r>
      <w:r>
        <w:rPr>
          <w:rFonts w:eastAsia="Batang"/>
          <w:sz w:val="22"/>
          <w:szCs w:val="22"/>
          <w:lang w:val="en-US" w:eastAsia="ko-KR"/>
        </w:rPr>
        <w:t xml:space="preserve"> supports dynamic per-frame channel width and bandwidth signaling. A 20 MHz </w:t>
      </w:r>
      <w:r w:rsidR="00072EB9">
        <w:rPr>
          <w:rFonts w:eastAsia="Batang"/>
          <w:sz w:val="22"/>
          <w:szCs w:val="22"/>
          <w:lang w:val="en-US" w:eastAsia="ko-KR"/>
        </w:rPr>
        <w:t xml:space="preserve">carrier </w:t>
      </w:r>
      <w:r>
        <w:rPr>
          <w:rFonts w:eastAsia="Batang"/>
          <w:sz w:val="22"/>
          <w:szCs w:val="22"/>
          <w:lang w:val="en-US" w:eastAsia="ko-KR"/>
        </w:rPr>
        <w:t xml:space="preserve">is designated as a primary channel and </w:t>
      </w:r>
      <w:r w:rsidR="00072EB9">
        <w:rPr>
          <w:rFonts w:eastAsia="Batang"/>
          <w:sz w:val="22"/>
          <w:szCs w:val="22"/>
          <w:lang w:val="en-US" w:eastAsia="ko-KR"/>
        </w:rPr>
        <w:t xml:space="preserve">other carriers may serve as secondary channels, i.e., when the channel is available on the secondary channels, the WiFi APs and clients may use wider channel by concatenating the primary and secondary carriers. </w:t>
      </w:r>
    </w:p>
    <w:p w14:paraId="58A4FD84" w14:textId="439894D8" w:rsidR="00072EB9" w:rsidRDefault="00072EB9" w:rsidP="0075483A">
      <w:pPr>
        <w:spacing w:before="120" w:after="120"/>
        <w:jc w:val="both"/>
        <w:rPr>
          <w:rFonts w:eastAsia="Batang"/>
          <w:sz w:val="22"/>
          <w:szCs w:val="22"/>
          <w:lang w:val="en-US" w:eastAsia="ko-KR"/>
        </w:rPr>
      </w:pPr>
      <w:r>
        <w:rPr>
          <w:rFonts w:eastAsia="Batang"/>
          <w:sz w:val="22"/>
          <w:szCs w:val="22"/>
          <w:lang w:val="en-US" w:eastAsia="ko-KR"/>
        </w:rPr>
        <w:lastRenderedPageBreak/>
        <w:t xml:space="preserve">NR-U would benefit from a similar approach </w:t>
      </w:r>
      <w:r w:rsidR="007A5AF8">
        <w:rPr>
          <w:rFonts w:eastAsia="Batang"/>
          <w:sz w:val="22"/>
          <w:szCs w:val="22"/>
          <w:lang w:val="en-US" w:eastAsia="ko-KR"/>
        </w:rPr>
        <w:t xml:space="preserve">to provisioning flexible CBWs </w:t>
      </w:r>
      <w:r w:rsidR="009F27A4">
        <w:rPr>
          <w:rFonts w:eastAsia="Batang"/>
          <w:sz w:val="22"/>
          <w:szCs w:val="22"/>
          <w:lang w:val="en-US" w:eastAsia="ko-KR"/>
        </w:rPr>
        <w:t>to support wider bandwidths when possible</w:t>
      </w:r>
      <w:r>
        <w:rPr>
          <w:rFonts w:eastAsia="Batang"/>
          <w:sz w:val="22"/>
          <w:szCs w:val="22"/>
          <w:lang w:val="en-US" w:eastAsia="ko-KR"/>
        </w:rPr>
        <w:t xml:space="preserve">. </w:t>
      </w:r>
      <w:r w:rsidR="00495DC2">
        <w:rPr>
          <w:rFonts w:eastAsia="Batang"/>
          <w:sz w:val="22"/>
          <w:szCs w:val="22"/>
          <w:lang w:val="en-US" w:eastAsia="ko-KR"/>
        </w:rPr>
        <w:t>So</w:t>
      </w:r>
      <w:r w:rsidR="002B73B2">
        <w:rPr>
          <w:rFonts w:eastAsia="Batang"/>
          <w:sz w:val="22"/>
          <w:szCs w:val="22"/>
          <w:lang w:val="en-US" w:eastAsia="ko-KR"/>
        </w:rPr>
        <w:t>,</w:t>
      </w:r>
      <w:r w:rsidR="00495DC2">
        <w:rPr>
          <w:rFonts w:eastAsia="Batang"/>
          <w:sz w:val="22"/>
          <w:szCs w:val="22"/>
          <w:lang w:val="en-US" w:eastAsia="ko-KR"/>
        </w:rPr>
        <w:t xml:space="preserve"> we recommend that NR-U study signaling and procedures to enable </w:t>
      </w:r>
      <w:r w:rsidR="007A5AF8">
        <w:rPr>
          <w:rFonts w:eastAsia="Batang"/>
          <w:sz w:val="22"/>
          <w:szCs w:val="22"/>
          <w:lang w:val="en-US" w:eastAsia="ko-KR"/>
        </w:rPr>
        <w:t xml:space="preserve">flexible CBW </w:t>
      </w:r>
      <w:r w:rsidR="00495DC2">
        <w:rPr>
          <w:rFonts w:eastAsia="Batang"/>
          <w:sz w:val="22"/>
          <w:szCs w:val="22"/>
          <w:lang w:val="en-US" w:eastAsia="ko-KR"/>
        </w:rPr>
        <w:t xml:space="preserve">in </w:t>
      </w:r>
      <w:r w:rsidR="007A5AF8">
        <w:rPr>
          <w:rFonts w:eastAsia="Batang"/>
          <w:sz w:val="22"/>
          <w:szCs w:val="22"/>
          <w:lang w:val="en-US" w:eastAsia="ko-KR"/>
        </w:rPr>
        <w:t xml:space="preserve">an </w:t>
      </w:r>
      <w:r w:rsidR="00495DC2">
        <w:rPr>
          <w:rFonts w:eastAsia="Batang"/>
          <w:sz w:val="22"/>
          <w:szCs w:val="22"/>
          <w:lang w:val="en-US" w:eastAsia="ko-KR"/>
        </w:rPr>
        <w:t xml:space="preserve">unlicensed </w:t>
      </w:r>
      <w:r w:rsidR="007A5AF8">
        <w:rPr>
          <w:rFonts w:eastAsia="Batang"/>
          <w:sz w:val="22"/>
          <w:szCs w:val="22"/>
          <w:lang w:val="en-US" w:eastAsia="ko-KR"/>
        </w:rPr>
        <w:t>cell</w:t>
      </w:r>
      <w:r w:rsidR="00495DC2">
        <w:rPr>
          <w:rFonts w:eastAsia="Batang"/>
          <w:sz w:val="22"/>
          <w:szCs w:val="22"/>
          <w:lang w:val="en-US" w:eastAsia="ko-KR"/>
        </w:rPr>
        <w:t>.</w:t>
      </w:r>
    </w:p>
    <w:p w14:paraId="2BB115D5" w14:textId="7998C1C6" w:rsidR="007B1A95" w:rsidRDefault="007B1A95" w:rsidP="007B1A95"/>
    <w:p w14:paraId="744EBE31" w14:textId="374EE5CC" w:rsidR="00495DC2" w:rsidRPr="00495DC2" w:rsidRDefault="00495DC2" w:rsidP="007B1A95">
      <w:pPr>
        <w:rPr>
          <w:b/>
        </w:rPr>
      </w:pPr>
      <w:r w:rsidRPr="003C16FE">
        <w:rPr>
          <w:b/>
          <w:i/>
          <w:sz w:val="22"/>
        </w:rPr>
        <w:t>Proposal</w:t>
      </w:r>
      <w:r w:rsidRPr="00495DC2">
        <w:rPr>
          <w:b/>
        </w:rPr>
        <w:t>:</w:t>
      </w:r>
      <w:r w:rsidRPr="00495DC2">
        <w:rPr>
          <w:rFonts w:eastAsia="Batang"/>
          <w:b/>
          <w:sz w:val="22"/>
          <w:szCs w:val="22"/>
          <w:lang w:val="en-US" w:eastAsia="ko-KR"/>
        </w:rPr>
        <w:t xml:space="preserve"> NR-U may study signaling and procedures to </w:t>
      </w:r>
      <w:r w:rsidRPr="00811FA0">
        <w:rPr>
          <w:rFonts w:eastAsia="Batang"/>
          <w:b/>
          <w:sz w:val="22"/>
          <w:szCs w:val="22"/>
          <w:lang w:val="en-US" w:eastAsia="ko-KR"/>
        </w:rPr>
        <w:t xml:space="preserve">enable </w:t>
      </w:r>
      <w:r w:rsidR="007A5AF8" w:rsidRPr="002B73B2">
        <w:rPr>
          <w:rFonts w:eastAsia="Batang"/>
          <w:b/>
          <w:sz w:val="22"/>
          <w:szCs w:val="22"/>
          <w:lang w:val="en-US" w:eastAsia="ko-KR"/>
        </w:rPr>
        <w:t>flexible CBW in an unlicensed cell.</w:t>
      </w:r>
      <w:r w:rsidR="007A5AF8">
        <w:rPr>
          <w:rFonts w:eastAsia="Batang"/>
          <w:sz w:val="22"/>
          <w:szCs w:val="22"/>
          <w:lang w:val="en-US" w:eastAsia="ko-KR"/>
        </w:rPr>
        <w:t xml:space="preserve"> </w:t>
      </w:r>
    </w:p>
    <w:p w14:paraId="5582D8AE" w14:textId="77777777" w:rsidR="003F4847" w:rsidRPr="007B1A95" w:rsidRDefault="003F4847" w:rsidP="007B1A95">
      <w:pPr>
        <w:pStyle w:val="Heading2"/>
        <w:rPr>
          <w:rFonts w:eastAsia="Batang"/>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295094D6" w:rsidR="005D20F1" w:rsidRDefault="00065F7D" w:rsidP="00A23578">
      <w:pPr>
        <w:spacing w:after="120"/>
        <w:jc w:val="both"/>
        <w:rPr>
          <w:rFonts w:eastAsia="Batang"/>
          <w:sz w:val="22"/>
          <w:szCs w:val="22"/>
          <w:lang w:val="en-US" w:eastAsia="ko-KR"/>
        </w:rPr>
      </w:pPr>
      <w:r w:rsidRPr="007371AC">
        <w:rPr>
          <w:rFonts w:eastAsia="Batang"/>
          <w:sz w:val="22"/>
          <w:szCs w:val="22"/>
          <w:lang w:val="en-US" w:eastAsia="ko-KR"/>
        </w:rPr>
        <w:t>In this contribution, we discussed the considerations</w:t>
      </w:r>
      <w:r w:rsidR="003C16FE">
        <w:rPr>
          <w:rFonts w:eastAsia="Batang"/>
          <w:sz w:val="22"/>
          <w:szCs w:val="22"/>
          <w:lang w:val="en-US" w:eastAsia="ko-KR"/>
        </w:rPr>
        <w:t xml:space="preserve"> for channelization of unlicensed spectrum for NR-U. We made the following observations and proposals.</w:t>
      </w:r>
    </w:p>
    <w:p w14:paraId="75B2C8B1" w14:textId="77777777" w:rsidR="003C16FE" w:rsidRPr="009179DA" w:rsidRDefault="003C16FE" w:rsidP="003C16FE">
      <w:pPr>
        <w:spacing w:before="120" w:after="120"/>
        <w:jc w:val="both"/>
        <w:rPr>
          <w:rFonts w:eastAsia="Batang"/>
          <w:b/>
          <w:sz w:val="22"/>
          <w:szCs w:val="22"/>
          <w:lang w:val="en-US" w:eastAsia="ko-KR"/>
        </w:rPr>
      </w:pPr>
      <w:r w:rsidRPr="009179DA">
        <w:rPr>
          <w:rFonts w:eastAsia="Batang"/>
          <w:b/>
          <w:i/>
          <w:sz w:val="22"/>
          <w:szCs w:val="22"/>
          <w:lang w:val="en-US" w:eastAsia="ko-KR"/>
        </w:rPr>
        <w:t>Observation</w:t>
      </w:r>
      <w:r>
        <w:rPr>
          <w:rFonts w:eastAsia="Batang"/>
          <w:b/>
          <w:i/>
          <w:sz w:val="22"/>
          <w:szCs w:val="22"/>
          <w:lang w:val="en-US" w:eastAsia="ko-KR"/>
        </w:rPr>
        <w:t xml:space="preserve"> 1</w:t>
      </w:r>
      <w:r w:rsidRPr="009179DA">
        <w:rPr>
          <w:rFonts w:eastAsia="Batang"/>
          <w:b/>
          <w:sz w:val="22"/>
          <w:szCs w:val="22"/>
          <w:lang w:val="en-US" w:eastAsia="ko-KR"/>
        </w:rPr>
        <w:t>: Wideband operation has fewer wasted resources from guard bands.</w:t>
      </w:r>
    </w:p>
    <w:p w14:paraId="26FD1EC1" w14:textId="363C15A9" w:rsidR="003C16FE" w:rsidRDefault="003C16FE" w:rsidP="003C16FE">
      <w:pPr>
        <w:spacing w:before="120" w:after="120"/>
        <w:jc w:val="both"/>
        <w:rPr>
          <w:rFonts w:eastAsia="Batang"/>
          <w:sz w:val="22"/>
          <w:szCs w:val="22"/>
          <w:lang w:val="en-US" w:eastAsia="ko-KR"/>
        </w:rPr>
      </w:pPr>
      <w:r w:rsidRPr="003C16FE">
        <w:rPr>
          <w:rFonts w:eastAsia="Batang"/>
          <w:b/>
          <w:i/>
          <w:sz w:val="22"/>
          <w:szCs w:val="22"/>
          <w:lang w:val="en-US" w:eastAsia="ko-KR"/>
        </w:rPr>
        <w:t>Observation 2</w:t>
      </w:r>
      <w:r w:rsidRPr="009179DA">
        <w:rPr>
          <w:rFonts w:eastAsia="Batang"/>
          <w:b/>
          <w:sz w:val="22"/>
          <w:szCs w:val="22"/>
          <w:lang w:val="en-US" w:eastAsia="ko-KR"/>
        </w:rPr>
        <w:t xml:space="preserve">: </w:t>
      </w:r>
      <w:r w:rsidR="00AB1D8A">
        <w:rPr>
          <w:rFonts w:eastAsia="Batang"/>
          <w:b/>
          <w:sz w:val="22"/>
          <w:szCs w:val="22"/>
          <w:lang w:val="en-US" w:eastAsia="ko-KR"/>
        </w:rPr>
        <w:t xml:space="preserve">Channelization and CBWs </w:t>
      </w:r>
      <w:r w:rsidR="002B73B2">
        <w:rPr>
          <w:rFonts w:eastAsia="Batang"/>
          <w:b/>
          <w:sz w:val="22"/>
          <w:szCs w:val="22"/>
          <w:lang w:val="en-US" w:eastAsia="ko-KR"/>
        </w:rPr>
        <w:t>like</w:t>
      </w:r>
      <w:r w:rsidR="00AB1D8A">
        <w:rPr>
          <w:rFonts w:eastAsia="Batang"/>
          <w:b/>
          <w:sz w:val="22"/>
          <w:szCs w:val="22"/>
          <w:lang w:val="en-US" w:eastAsia="ko-KR"/>
        </w:rPr>
        <w:t xml:space="preserve"> those of incumbent technologies allows NR-U to coexist with the incumbents</w:t>
      </w:r>
      <w:r w:rsidR="00AB1D8A" w:rsidRPr="009179DA">
        <w:rPr>
          <w:rFonts w:eastAsia="Batang"/>
          <w:b/>
          <w:sz w:val="22"/>
          <w:szCs w:val="22"/>
          <w:lang w:val="en-US" w:eastAsia="ko-KR"/>
        </w:rPr>
        <w:t>.</w:t>
      </w:r>
    </w:p>
    <w:p w14:paraId="1A070CFA" w14:textId="6A0F45D2" w:rsidR="003C16FE" w:rsidRPr="00811FA0" w:rsidRDefault="003C16FE" w:rsidP="003C16FE">
      <w:pPr>
        <w:rPr>
          <w:b/>
        </w:rPr>
      </w:pPr>
      <w:r w:rsidRPr="003C16FE">
        <w:rPr>
          <w:b/>
          <w:i/>
          <w:sz w:val="22"/>
        </w:rPr>
        <w:t>Proposal</w:t>
      </w:r>
      <w:r w:rsidRPr="00495DC2">
        <w:rPr>
          <w:b/>
        </w:rPr>
        <w:t>:</w:t>
      </w:r>
      <w:r w:rsidRPr="00495DC2">
        <w:rPr>
          <w:rFonts w:eastAsia="Batang"/>
          <w:b/>
          <w:sz w:val="22"/>
          <w:szCs w:val="22"/>
          <w:lang w:val="en-US" w:eastAsia="ko-KR"/>
        </w:rPr>
        <w:t xml:space="preserve"> NR-U </w:t>
      </w:r>
      <w:r w:rsidR="001D563D">
        <w:rPr>
          <w:rFonts w:eastAsia="Batang"/>
          <w:b/>
          <w:sz w:val="22"/>
          <w:szCs w:val="22"/>
          <w:lang w:val="en-US" w:eastAsia="ko-KR"/>
        </w:rPr>
        <w:t>should</w:t>
      </w:r>
      <w:r w:rsidRPr="00495DC2">
        <w:rPr>
          <w:rFonts w:eastAsia="Batang"/>
          <w:b/>
          <w:sz w:val="22"/>
          <w:szCs w:val="22"/>
          <w:lang w:val="en-US" w:eastAsia="ko-KR"/>
        </w:rPr>
        <w:t xml:space="preserve"> study signaling and procedures to </w:t>
      </w:r>
      <w:r w:rsidRPr="00811FA0">
        <w:rPr>
          <w:rFonts w:eastAsia="Batang"/>
          <w:b/>
          <w:sz w:val="22"/>
          <w:szCs w:val="22"/>
          <w:lang w:val="en-US" w:eastAsia="ko-KR"/>
        </w:rPr>
        <w:t xml:space="preserve">enable </w:t>
      </w:r>
      <w:r w:rsidR="007A5AF8" w:rsidRPr="002B73B2">
        <w:rPr>
          <w:rFonts w:eastAsia="Batang"/>
          <w:b/>
          <w:sz w:val="22"/>
          <w:szCs w:val="22"/>
          <w:lang w:val="en-US" w:eastAsia="ko-KR"/>
        </w:rPr>
        <w:t xml:space="preserve">flexible CBW in an unlicensed cell. </w:t>
      </w:r>
    </w:p>
    <w:p w14:paraId="1E2BC7FF" w14:textId="77777777" w:rsidR="00E36916" w:rsidRDefault="00E3691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40CEEA2F" w14:textId="07E33E04" w:rsidR="006B2DC7" w:rsidRPr="006B2DC7" w:rsidRDefault="006B2DC7" w:rsidP="006B2DC7">
      <w:pPr>
        <w:pStyle w:val="iReference"/>
        <w:numPr>
          <w:ilvl w:val="0"/>
          <w:numId w:val="17"/>
        </w:numPr>
        <w:spacing w:after="120"/>
        <w:jc w:val="both"/>
        <w:rPr>
          <w:rFonts w:ascii="Times New Roman" w:hAnsi="Times New Roman" w:cs="Times New Roman"/>
          <w:sz w:val="22"/>
          <w:szCs w:val="22"/>
        </w:rPr>
      </w:pPr>
      <w:bookmarkStart w:id="1" w:name="_Ref449465801"/>
      <w:bookmarkStart w:id="2" w:name="_Ref471288964"/>
      <w:r w:rsidRPr="00062DF5">
        <w:rPr>
          <w:rFonts w:ascii="Times New Roman" w:eastAsia="PMingLiU" w:hAnsi="Times New Roman" w:cs="Times New Roman"/>
          <w:color w:val="000000" w:themeColor="text1"/>
          <w:sz w:val="22"/>
        </w:rPr>
        <w:t xml:space="preserve">RAN1 Chairman’s Notes, 3GPP TSG RAN WG1 Meeting </w:t>
      </w:r>
      <w:r>
        <w:rPr>
          <w:rFonts w:ascii="Times New Roman" w:eastAsia="PMingLiU" w:hAnsi="Times New Roman" w:cs="Times New Roman"/>
          <w:color w:val="000000" w:themeColor="text1"/>
          <w:sz w:val="22"/>
        </w:rPr>
        <w:t>#92</w:t>
      </w:r>
      <w:r w:rsidRPr="00062DF5">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Athens, Greece, Feb 2018.</w:t>
      </w:r>
    </w:p>
    <w:p w14:paraId="4ADA90C5" w14:textId="0DC481CE" w:rsidR="006B2DC7" w:rsidRPr="006B2DC7" w:rsidRDefault="006B2DC7" w:rsidP="006B2DC7">
      <w:pPr>
        <w:pStyle w:val="iReference"/>
        <w:numPr>
          <w:ilvl w:val="0"/>
          <w:numId w:val="17"/>
        </w:numPr>
        <w:spacing w:after="120"/>
        <w:jc w:val="both"/>
        <w:rPr>
          <w:rFonts w:ascii="Times New Roman" w:hAnsi="Times New Roman" w:cs="Times New Roman"/>
          <w:sz w:val="22"/>
          <w:szCs w:val="22"/>
        </w:rPr>
      </w:pPr>
      <w:bookmarkStart w:id="3" w:name="_Ref466016400"/>
      <w:bookmarkStart w:id="4" w:name="_Ref481762365"/>
      <w:bookmarkStart w:id="5" w:name="_Ref494714909"/>
      <w:r w:rsidRPr="00062DF5">
        <w:rPr>
          <w:rFonts w:ascii="Times New Roman" w:eastAsia="PMingLiU" w:hAnsi="Times New Roman" w:cs="Times New Roman"/>
          <w:color w:val="000000" w:themeColor="text1"/>
          <w:sz w:val="22"/>
        </w:rPr>
        <w:t xml:space="preserve">RAN1 Chairman’s Notes, 3GPP TSG RAN WG1 Meeting </w:t>
      </w:r>
      <w:r>
        <w:rPr>
          <w:rFonts w:ascii="Times New Roman" w:eastAsia="PMingLiU" w:hAnsi="Times New Roman" w:cs="Times New Roman"/>
          <w:color w:val="000000" w:themeColor="text1"/>
          <w:sz w:val="22"/>
        </w:rPr>
        <w:t>#92b</w:t>
      </w:r>
      <w:r w:rsidRPr="00062DF5">
        <w:rPr>
          <w:rFonts w:ascii="Times New Roman" w:eastAsia="PMingLiU" w:hAnsi="Times New Roman" w:cs="Times New Roman"/>
          <w:color w:val="000000" w:themeColor="text1"/>
          <w:sz w:val="22"/>
        </w:rPr>
        <w:t xml:space="preserve">, </w:t>
      </w:r>
      <w:bookmarkEnd w:id="3"/>
      <w:bookmarkEnd w:id="4"/>
      <w:r>
        <w:rPr>
          <w:rFonts w:ascii="Times New Roman" w:eastAsia="PMingLiU" w:hAnsi="Times New Roman" w:cs="Times New Roman"/>
          <w:color w:val="000000" w:themeColor="text1"/>
          <w:sz w:val="22"/>
        </w:rPr>
        <w:t>Sanya, China, April</w:t>
      </w:r>
      <w:bookmarkEnd w:id="5"/>
      <w:r>
        <w:rPr>
          <w:rFonts w:ascii="Times New Roman" w:eastAsia="PMingLiU" w:hAnsi="Times New Roman" w:cs="Times New Roman"/>
          <w:color w:val="000000" w:themeColor="text1"/>
          <w:sz w:val="22"/>
        </w:rPr>
        <w:t xml:space="preserve"> 2018.</w:t>
      </w:r>
    </w:p>
    <w:p w14:paraId="46B471DC" w14:textId="5BB97841" w:rsidR="006B2DC7" w:rsidRPr="006B2DC7" w:rsidRDefault="006B2DC7" w:rsidP="006B2DC7">
      <w:pPr>
        <w:pStyle w:val="iReference"/>
        <w:numPr>
          <w:ilvl w:val="0"/>
          <w:numId w:val="17"/>
        </w:numPr>
        <w:spacing w:after="120"/>
        <w:jc w:val="both"/>
        <w:rPr>
          <w:rFonts w:ascii="Times New Roman" w:hAnsi="Times New Roman" w:cs="Times New Roman"/>
          <w:sz w:val="22"/>
          <w:szCs w:val="22"/>
        </w:rPr>
      </w:pPr>
      <w:r w:rsidRPr="006B2DC7">
        <w:rPr>
          <w:rFonts w:ascii="Times New Roman" w:hAnsi="Times New Roman" w:cs="Times New Roman"/>
          <w:sz w:val="22"/>
          <w:szCs w:val="22"/>
        </w:rPr>
        <w:t>ETSI EN 301.893, 5 GHz RAN; Harmonised Standard covering the essential requirements of article 3.2 of Directive 2014/53/EU V2.1.1, 2017-05</w:t>
      </w:r>
    </w:p>
    <w:p w14:paraId="40F67D50" w14:textId="77777777" w:rsidR="006B2DC7" w:rsidRPr="00062DF5" w:rsidRDefault="006B2DC7" w:rsidP="006B2DC7">
      <w:pPr>
        <w:pStyle w:val="iReference"/>
        <w:numPr>
          <w:ilvl w:val="0"/>
          <w:numId w:val="0"/>
        </w:numPr>
        <w:spacing w:after="120"/>
        <w:ind w:left="360"/>
        <w:jc w:val="both"/>
        <w:rPr>
          <w:rFonts w:ascii="Times New Roman" w:hAnsi="Times New Roman" w:cs="Times New Roman"/>
          <w:sz w:val="22"/>
          <w:szCs w:val="22"/>
        </w:rPr>
      </w:pPr>
    </w:p>
    <w:bookmarkEnd w:id="1"/>
    <w:bookmarkEnd w:id="2"/>
    <w:p w14:paraId="24C7345F" w14:textId="77777777" w:rsidR="00E36916" w:rsidRPr="00E36916" w:rsidRDefault="00E36916" w:rsidP="00E36916">
      <w:pPr>
        <w:rPr>
          <w:lang w:val="en-US" w:eastAsia="zh-TW"/>
        </w:rPr>
      </w:pPr>
    </w:p>
    <w:sectPr w:rsidR="00E36916" w:rsidRPr="00E36916">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7C0DE" w14:textId="77777777" w:rsidR="00C53A12" w:rsidRDefault="00C53A12">
      <w:r>
        <w:separator/>
      </w:r>
    </w:p>
  </w:endnote>
  <w:endnote w:type="continuationSeparator" w:id="0">
    <w:p w14:paraId="4C52FE34" w14:textId="77777777" w:rsidR="00C53A12" w:rsidRDefault="00C5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412703"/>
      <w:docPartObj>
        <w:docPartGallery w:val="Page Numbers (Bottom of Page)"/>
        <w:docPartUnique/>
      </w:docPartObj>
    </w:sdtPr>
    <w:sdtEndPr>
      <w:rPr>
        <w:noProof/>
      </w:rPr>
    </w:sdtEndPr>
    <w:sdtContent>
      <w:p w14:paraId="1C2896AA" w14:textId="056248EF" w:rsidR="00C53A12" w:rsidRDefault="00C53A12">
        <w:pPr>
          <w:pStyle w:val="Footer"/>
          <w:jc w:val="center"/>
        </w:pPr>
        <w:r>
          <w:fldChar w:fldCharType="begin"/>
        </w:r>
        <w:r>
          <w:instrText xml:space="preserve"> PAGE   \* MERGEFORMAT </w:instrText>
        </w:r>
        <w:r>
          <w:fldChar w:fldCharType="separate"/>
        </w:r>
        <w:r w:rsidR="002D09FA">
          <w:rPr>
            <w:noProof/>
          </w:rPr>
          <w:t>2</w:t>
        </w:r>
        <w:r>
          <w:rPr>
            <w:noProof/>
          </w:rPr>
          <w:fldChar w:fldCharType="end"/>
        </w:r>
      </w:p>
    </w:sdtContent>
  </w:sdt>
  <w:p w14:paraId="6BAAE4CC" w14:textId="77777777" w:rsidR="00C53A12" w:rsidRDefault="00C53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988216"/>
      <w:docPartObj>
        <w:docPartGallery w:val="Page Numbers (Bottom of Page)"/>
        <w:docPartUnique/>
      </w:docPartObj>
    </w:sdtPr>
    <w:sdtEndPr>
      <w:rPr>
        <w:noProof/>
      </w:rPr>
    </w:sdtEndPr>
    <w:sdtContent>
      <w:p w14:paraId="7BA831D6" w14:textId="35833470" w:rsidR="00C53A12" w:rsidRDefault="00C53A12">
        <w:pPr>
          <w:pStyle w:val="Footer"/>
          <w:jc w:val="center"/>
        </w:pPr>
        <w:r>
          <w:fldChar w:fldCharType="begin"/>
        </w:r>
        <w:r>
          <w:instrText xml:space="preserve"> PAGE   \* MERGEFORMAT </w:instrText>
        </w:r>
        <w:r>
          <w:fldChar w:fldCharType="separate"/>
        </w:r>
        <w:r w:rsidR="002D09FA">
          <w:rPr>
            <w:noProof/>
          </w:rPr>
          <w:t>1</w:t>
        </w:r>
        <w:r>
          <w:rPr>
            <w:noProof/>
          </w:rPr>
          <w:fldChar w:fldCharType="end"/>
        </w:r>
      </w:p>
    </w:sdtContent>
  </w:sdt>
  <w:p w14:paraId="1BB4A199" w14:textId="77777777" w:rsidR="00C53A12" w:rsidRDefault="00C53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B996E" w14:textId="77777777" w:rsidR="00C53A12" w:rsidRDefault="00C53A12">
      <w:r>
        <w:separator/>
      </w:r>
    </w:p>
  </w:footnote>
  <w:footnote w:type="continuationSeparator" w:id="0">
    <w:p w14:paraId="23E2DBED" w14:textId="77777777" w:rsidR="00C53A12" w:rsidRDefault="00C53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7E1"/>
    <w:multiLevelType w:val="multilevel"/>
    <w:tmpl w:val="9D264988"/>
    <w:lvl w:ilvl="0">
      <w:start w:val="1"/>
      <w:numFmt w:val="decimal"/>
      <w:lvlRestart w:val="0"/>
      <w:pStyle w:val="iNumberedlist"/>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0"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8"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8"/>
  </w:num>
  <w:num w:numId="3">
    <w:abstractNumId w:val="12"/>
  </w:num>
  <w:num w:numId="4">
    <w:abstractNumId w:val="6"/>
  </w:num>
  <w:num w:numId="5">
    <w:abstractNumId w:val="3"/>
  </w:num>
  <w:num w:numId="6">
    <w:abstractNumId w:val="26"/>
  </w:num>
  <w:num w:numId="7">
    <w:abstractNumId w:val="28"/>
  </w:num>
  <w:num w:numId="8">
    <w:abstractNumId w:val="10"/>
  </w:num>
  <w:num w:numId="9">
    <w:abstractNumId w:val="4"/>
  </w:num>
  <w:num w:numId="10">
    <w:abstractNumId w:val="15"/>
  </w:num>
  <w:num w:numId="11">
    <w:abstractNumId w:val="13"/>
  </w:num>
  <w:num w:numId="12">
    <w:abstractNumId w:val="14"/>
  </w:num>
  <w:num w:numId="13">
    <w:abstractNumId w:val="17"/>
  </w:num>
  <w:num w:numId="14">
    <w:abstractNumId w:val="21"/>
  </w:num>
  <w:num w:numId="15">
    <w:abstractNumId w:val="1"/>
  </w:num>
  <w:num w:numId="16">
    <w:abstractNumId w:val="20"/>
  </w:num>
  <w:num w:numId="17">
    <w:abstractNumId w:val="2"/>
  </w:num>
  <w:num w:numId="18">
    <w:abstractNumId w:val="5"/>
  </w:num>
  <w:num w:numId="19">
    <w:abstractNumId w:val="27"/>
  </w:num>
  <w:num w:numId="20">
    <w:abstractNumId w:val="22"/>
  </w:num>
  <w:num w:numId="21">
    <w:abstractNumId w:val="8"/>
  </w:num>
  <w:num w:numId="22">
    <w:abstractNumId w:val="9"/>
  </w:num>
  <w:num w:numId="23">
    <w:abstractNumId w:val="11"/>
  </w:num>
  <w:num w:numId="24">
    <w:abstractNumId w:val="19"/>
  </w:num>
  <w:num w:numId="25">
    <w:abstractNumId w:val="16"/>
  </w:num>
  <w:num w:numId="26">
    <w:abstractNumId w:val="24"/>
  </w:num>
  <w:num w:numId="27">
    <w:abstractNumId w:val="7"/>
  </w:num>
  <w:num w:numId="28">
    <w:abstractNumId w:val="0"/>
  </w:num>
  <w:num w:numId="2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319FD"/>
    <w:rsid w:val="00037AB3"/>
    <w:rsid w:val="00053E0E"/>
    <w:rsid w:val="000550E1"/>
    <w:rsid w:val="0006095E"/>
    <w:rsid w:val="00062DF5"/>
    <w:rsid w:val="00065F7D"/>
    <w:rsid w:val="000674FE"/>
    <w:rsid w:val="00072EB9"/>
    <w:rsid w:val="00073F85"/>
    <w:rsid w:val="00080358"/>
    <w:rsid w:val="000950C5"/>
    <w:rsid w:val="000955F8"/>
    <w:rsid w:val="000A26C4"/>
    <w:rsid w:val="000C40EF"/>
    <w:rsid w:val="000D00F4"/>
    <w:rsid w:val="000D27A6"/>
    <w:rsid w:val="000D37D3"/>
    <w:rsid w:val="000F2AFF"/>
    <w:rsid w:val="000F421F"/>
    <w:rsid w:val="00140681"/>
    <w:rsid w:val="00153B57"/>
    <w:rsid w:val="001679F4"/>
    <w:rsid w:val="00172677"/>
    <w:rsid w:val="00175D3D"/>
    <w:rsid w:val="00182FFB"/>
    <w:rsid w:val="0018411B"/>
    <w:rsid w:val="00185133"/>
    <w:rsid w:val="00187541"/>
    <w:rsid w:val="001A5BE4"/>
    <w:rsid w:val="001B03EA"/>
    <w:rsid w:val="001B2AC7"/>
    <w:rsid w:val="001B2C52"/>
    <w:rsid w:val="001D563D"/>
    <w:rsid w:val="001E18D6"/>
    <w:rsid w:val="001E3B88"/>
    <w:rsid w:val="001F4117"/>
    <w:rsid w:val="002119E3"/>
    <w:rsid w:val="002121C6"/>
    <w:rsid w:val="00214FB9"/>
    <w:rsid w:val="002161A5"/>
    <w:rsid w:val="00231627"/>
    <w:rsid w:val="00231AEA"/>
    <w:rsid w:val="002372D7"/>
    <w:rsid w:val="0025363F"/>
    <w:rsid w:val="00263E95"/>
    <w:rsid w:val="00266C98"/>
    <w:rsid w:val="00283A71"/>
    <w:rsid w:val="0028476E"/>
    <w:rsid w:val="002B3C03"/>
    <w:rsid w:val="002B728D"/>
    <w:rsid w:val="002B73B2"/>
    <w:rsid w:val="002D09FA"/>
    <w:rsid w:val="002D40BC"/>
    <w:rsid w:val="002E2EB5"/>
    <w:rsid w:val="002E720C"/>
    <w:rsid w:val="002F2971"/>
    <w:rsid w:val="002F4A9B"/>
    <w:rsid w:val="00311110"/>
    <w:rsid w:val="00322338"/>
    <w:rsid w:val="003252F1"/>
    <w:rsid w:val="00335638"/>
    <w:rsid w:val="00341709"/>
    <w:rsid w:val="00342A22"/>
    <w:rsid w:val="0034698C"/>
    <w:rsid w:val="00352982"/>
    <w:rsid w:val="003567E2"/>
    <w:rsid w:val="003709B3"/>
    <w:rsid w:val="00377439"/>
    <w:rsid w:val="0037756A"/>
    <w:rsid w:val="003C16FE"/>
    <w:rsid w:val="003C6CD9"/>
    <w:rsid w:val="003D77C4"/>
    <w:rsid w:val="003E1C7C"/>
    <w:rsid w:val="003E3C09"/>
    <w:rsid w:val="003F24DB"/>
    <w:rsid w:val="003F4847"/>
    <w:rsid w:val="004214CF"/>
    <w:rsid w:val="004224C0"/>
    <w:rsid w:val="00424E3F"/>
    <w:rsid w:val="00427F95"/>
    <w:rsid w:val="00431779"/>
    <w:rsid w:val="0043276F"/>
    <w:rsid w:val="004453C1"/>
    <w:rsid w:val="00447234"/>
    <w:rsid w:val="004607C3"/>
    <w:rsid w:val="004778AF"/>
    <w:rsid w:val="00483A74"/>
    <w:rsid w:val="00485C27"/>
    <w:rsid w:val="00495DC2"/>
    <w:rsid w:val="004A3FAE"/>
    <w:rsid w:val="004B547B"/>
    <w:rsid w:val="004C301F"/>
    <w:rsid w:val="004C38CC"/>
    <w:rsid w:val="004E2EEE"/>
    <w:rsid w:val="005072FC"/>
    <w:rsid w:val="0053076A"/>
    <w:rsid w:val="005430EE"/>
    <w:rsid w:val="00546B64"/>
    <w:rsid w:val="00554E84"/>
    <w:rsid w:val="00557B02"/>
    <w:rsid w:val="00580925"/>
    <w:rsid w:val="00591A33"/>
    <w:rsid w:val="005A05BE"/>
    <w:rsid w:val="005A2572"/>
    <w:rsid w:val="005B1F5C"/>
    <w:rsid w:val="005B2076"/>
    <w:rsid w:val="005B4701"/>
    <w:rsid w:val="005C3384"/>
    <w:rsid w:val="005D20F1"/>
    <w:rsid w:val="005D2D51"/>
    <w:rsid w:val="005D3F5A"/>
    <w:rsid w:val="005D4BE2"/>
    <w:rsid w:val="005F318B"/>
    <w:rsid w:val="00602F21"/>
    <w:rsid w:val="0061417F"/>
    <w:rsid w:val="00614D21"/>
    <w:rsid w:val="006204C2"/>
    <w:rsid w:val="0062449A"/>
    <w:rsid w:val="00645A3D"/>
    <w:rsid w:val="0064615E"/>
    <w:rsid w:val="00665941"/>
    <w:rsid w:val="006733DB"/>
    <w:rsid w:val="006758DE"/>
    <w:rsid w:val="00677A39"/>
    <w:rsid w:val="0069390B"/>
    <w:rsid w:val="00695505"/>
    <w:rsid w:val="006B1113"/>
    <w:rsid w:val="006B2DC7"/>
    <w:rsid w:val="006B6D77"/>
    <w:rsid w:val="006D33D8"/>
    <w:rsid w:val="006F55A6"/>
    <w:rsid w:val="006F73F9"/>
    <w:rsid w:val="00701C41"/>
    <w:rsid w:val="0072141F"/>
    <w:rsid w:val="00721DA7"/>
    <w:rsid w:val="00724391"/>
    <w:rsid w:val="00727C17"/>
    <w:rsid w:val="007371AC"/>
    <w:rsid w:val="0075483A"/>
    <w:rsid w:val="00790C82"/>
    <w:rsid w:val="00795985"/>
    <w:rsid w:val="0079648D"/>
    <w:rsid w:val="007A11D7"/>
    <w:rsid w:val="007A3330"/>
    <w:rsid w:val="007A5AF8"/>
    <w:rsid w:val="007B1A95"/>
    <w:rsid w:val="007B2090"/>
    <w:rsid w:val="007B5072"/>
    <w:rsid w:val="007C6943"/>
    <w:rsid w:val="007E3CA1"/>
    <w:rsid w:val="00801B7D"/>
    <w:rsid w:val="00804AC2"/>
    <w:rsid w:val="00811FA0"/>
    <w:rsid w:val="008127C1"/>
    <w:rsid w:val="008254B6"/>
    <w:rsid w:val="00832094"/>
    <w:rsid w:val="00833404"/>
    <w:rsid w:val="00834051"/>
    <w:rsid w:val="00837728"/>
    <w:rsid w:val="00842B97"/>
    <w:rsid w:val="00861449"/>
    <w:rsid w:val="008911D1"/>
    <w:rsid w:val="0089215D"/>
    <w:rsid w:val="008B2885"/>
    <w:rsid w:val="008E4BDE"/>
    <w:rsid w:val="00914FD3"/>
    <w:rsid w:val="009179DA"/>
    <w:rsid w:val="00940ED3"/>
    <w:rsid w:val="00946429"/>
    <w:rsid w:val="0095582D"/>
    <w:rsid w:val="0098051C"/>
    <w:rsid w:val="00980D88"/>
    <w:rsid w:val="009962C7"/>
    <w:rsid w:val="009A4F65"/>
    <w:rsid w:val="009B2E97"/>
    <w:rsid w:val="009D5348"/>
    <w:rsid w:val="009E1249"/>
    <w:rsid w:val="009F27A4"/>
    <w:rsid w:val="00A2299C"/>
    <w:rsid w:val="00A23578"/>
    <w:rsid w:val="00A23793"/>
    <w:rsid w:val="00A361F7"/>
    <w:rsid w:val="00A37F58"/>
    <w:rsid w:val="00A47839"/>
    <w:rsid w:val="00A53DF3"/>
    <w:rsid w:val="00A55592"/>
    <w:rsid w:val="00A61C6B"/>
    <w:rsid w:val="00A83382"/>
    <w:rsid w:val="00A91310"/>
    <w:rsid w:val="00A92725"/>
    <w:rsid w:val="00A97DE8"/>
    <w:rsid w:val="00AA39C3"/>
    <w:rsid w:val="00AB1D8A"/>
    <w:rsid w:val="00AB36E6"/>
    <w:rsid w:val="00AB4813"/>
    <w:rsid w:val="00AE1547"/>
    <w:rsid w:val="00AE4A3B"/>
    <w:rsid w:val="00B0429F"/>
    <w:rsid w:val="00B15573"/>
    <w:rsid w:val="00B2125D"/>
    <w:rsid w:val="00B243A9"/>
    <w:rsid w:val="00B25943"/>
    <w:rsid w:val="00B25D14"/>
    <w:rsid w:val="00B329B4"/>
    <w:rsid w:val="00B67BB0"/>
    <w:rsid w:val="00B77F6C"/>
    <w:rsid w:val="00B81A88"/>
    <w:rsid w:val="00B87ADF"/>
    <w:rsid w:val="00B91EAF"/>
    <w:rsid w:val="00B94E45"/>
    <w:rsid w:val="00BA2E58"/>
    <w:rsid w:val="00BA4C37"/>
    <w:rsid w:val="00BA784D"/>
    <w:rsid w:val="00BB5E8F"/>
    <w:rsid w:val="00BE169E"/>
    <w:rsid w:val="00BE67A0"/>
    <w:rsid w:val="00C43C21"/>
    <w:rsid w:val="00C53A12"/>
    <w:rsid w:val="00C5571A"/>
    <w:rsid w:val="00C71F3C"/>
    <w:rsid w:val="00CA2985"/>
    <w:rsid w:val="00CC2E29"/>
    <w:rsid w:val="00CD77C0"/>
    <w:rsid w:val="00CE58D7"/>
    <w:rsid w:val="00D16F81"/>
    <w:rsid w:val="00D224B7"/>
    <w:rsid w:val="00D26F3E"/>
    <w:rsid w:val="00D303B9"/>
    <w:rsid w:val="00D649A6"/>
    <w:rsid w:val="00D6552D"/>
    <w:rsid w:val="00D84FF1"/>
    <w:rsid w:val="00D86BCC"/>
    <w:rsid w:val="00D90ABB"/>
    <w:rsid w:val="00D92C9C"/>
    <w:rsid w:val="00DA1039"/>
    <w:rsid w:val="00DD63B9"/>
    <w:rsid w:val="00DE02F4"/>
    <w:rsid w:val="00DF3829"/>
    <w:rsid w:val="00E0498C"/>
    <w:rsid w:val="00E31EB1"/>
    <w:rsid w:val="00E34FE4"/>
    <w:rsid w:val="00E36916"/>
    <w:rsid w:val="00E44CC6"/>
    <w:rsid w:val="00E80548"/>
    <w:rsid w:val="00E8262A"/>
    <w:rsid w:val="00EA50F2"/>
    <w:rsid w:val="00EA5108"/>
    <w:rsid w:val="00EB7CDB"/>
    <w:rsid w:val="00ED218B"/>
    <w:rsid w:val="00ED2D69"/>
    <w:rsid w:val="00ED2F30"/>
    <w:rsid w:val="00EF1127"/>
    <w:rsid w:val="00EF142E"/>
    <w:rsid w:val="00EF4360"/>
    <w:rsid w:val="00EF6360"/>
    <w:rsid w:val="00F34A34"/>
    <w:rsid w:val="00F35FDC"/>
    <w:rsid w:val="00F44FBF"/>
    <w:rsid w:val="00F52300"/>
    <w:rsid w:val="00F6026A"/>
    <w:rsid w:val="00F61E44"/>
    <w:rsid w:val="00F72B40"/>
    <w:rsid w:val="00F80282"/>
    <w:rsid w:val="00F87D63"/>
    <w:rsid w:val="00FB15B0"/>
    <w:rsid w:val="00FB71E8"/>
    <w:rsid w:val="00FB79C8"/>
    <w:rsid w:val="00FB7A90"/>
    <w:rsid w:val="00FC0AF0"/>
    <w:rsid w:val="00FC73F7"/>
    <w:rsid w:val="00FD3503"/>
    <w:rsid w:val="00FD58A3"/>
    <w:rsid w:val="00FE7E4F"/>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paragraph" w:customStyle="1" w:styleId="iNumberedlist">
    <w:name w:val="iNumbered list"/>
    <w:basedOn w:val="Normal"/>
    <w:rsid w:val="005430EE"/>
    <w:pPr>
      <w:keepLines/>
      <w:numPr>
        <w:numId w:val="28"/>
      </w:numPr>
      <w:tabs>
        <w:tab w:val="left" w:pos="720"/>
      </w:tabs>
      <w:spacing w:before="24" w:after="24"/>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5430EE"/>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232018A4-D1FD-4177-A9C9-50A7C9C5CE4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8B19FAD-6FCF-4C4E-8EE6-5091CB70B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Iyer, Lakshmi</cp:lastModifiedBy>
  <cp:revision>2</cp:revision>
  <cp:lastPrinted>2002-04-23T07:10:00Z</cp:lastPrinted>
  <dcterms:created xsi:type="dcterms:W3CDTF">2018-05-11T20:38:00Z</dcterms:created>
  <dcterms:modified xsi:type="dcterms:W3CDTF">2018-05-11T20:38:00Z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